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MetallbAusbV 2008 — Gewichtungs- und Bestehensregelung in der Fachrichtung Metallgestaltung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in der Fachrichtung Metallgestaltung sind wie folgt zu gewichten:</w:t>
      </w:r>
    </w:p>
    <w:p>
      <w:r>
        <w:rPr>
          <w:rFonts w:ascii="Courier New" w:hAnsi="Courier New"/>
          <w:sz w:val="17"/>
        </w:rPr>
        <w:t xml:space="preserve">1.    Prüfungsbereich Arbeitsauftrag    30 Prozent,</w:t>
      </w:r>
    </w:p>
    <w:p>
      <w:r>
        <w:rPr>
          <w:rFonts w:ascii="Courier New" w:hAnsi="Courier New"/>
          <w:sz w:val="17"/>
        </w:rPr>
        <w:t xml:space="preserve">2.    Prüfungsbereich Kundenauftrag    35 Prozent,</w:t>
      </w:r>
    </w:p>
    <w:p>
      <w:r>
        <w:rPr>
          <w:rFonts w:ascii="Courier New" w:hAnsi="Courier New"/>
          <w:sz w:val="17"/>
        </w:rPr>
        <w:t xml:space="preserve">3.    Prüfungsbereich Metallgestaltung    12,5 Prozent,</w:t>
      </w:r>
    </w:p>
    <w:p>
      <w:r>
        <w:rPr>
          <w:rFonts w:ascii="Courier New" w:hAnsi="Courier New"/>
          <w:sz w:val="17"/>
        </w:rPr>
        <w:t xml:space="preserve">4.    Prüfungsbereich Arbeitsplanung    12,5 Prozent,</w:t>
      </w:r>
    </w:p>
    <w:p>
      <w:r>
        <w:rPr>
          <w:rFonts w:ascii="Courier New" w:hAnsi="Courier New"/>
          <w:sz w:val="17"/>
        </w:rPr>
        <w:t xml:space="preserve">5.    Prüfungsbereich Wirtschafts- und Sozialkunde    10 Prozent.</w:t>
      </w:r>
    </w:p>
    <w:p>
      <w:r>
        <w:t xml:space="preserve">(2) Die Gesellenprüfung in der Fachrichtung Metallgestaltung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der Gesellenprüfung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11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