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MetTechAusbV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Absatz 4 und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