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MetTechAusbV — Dauer der Berufsausbildung</w:t>
      </w:r>
    </w:p>
    <w:p>
      <w:r>
        <w:rPr>
          <w:color w:val="555555"/>
          <w:sz w:val="18"/>
        </w:rPr>
        <w:t xml:space="preserve">Verordnung über die Berufsausbildung zur Fachkraft für Metalltechnik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zwei Jahre.</w:t>
      </w:r>
    </w:p>
    <w:p>
      <w:r>
        <w:rPr>
          <w:color w:val="555555"/>
          <w:sz w:val="17"/>
        </w:rPr>
        <w:t xml:space="preserve">Zitiervorschlag: § 2 MetTechAusbV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