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MetTechAusbV — Inkrafttreten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17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