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MetTechAusbV — Bestehende Berufsausbildungsverhältnisse</w:t>
      </w:r>
    </w:p>
    <w:p>
      <w:r>
        <w:rPr>
          <w:color w:val="555555"/>
          <w:sz w:val="18"/>
        </w:rPr>
        <w:t xml:space="preserve">Verordnung über die Berufsausbildung zur Fachkraft für Metalltechnik</w:t>
      </w:r>
    </w:p>
    <w:p>
      <w:r>
        <w:rPr>
          <w:color w:val="555555"/>
          <w:sz w:val="18"/>
        </w:rPr>
        <w:t xml:space="preserve">Stand: 10.06.2019 (konsolidierte Textfassung, kein amtliches Inkrafttretensdatum)</w:t>
      </w:r>
    </w:p>
    <w:p>
      <w:r>
        <w:t xml:space="preserve">Berufsausbildungsverhältnisse, die in den Berufsbildern der staatlich anerkannten Ausbildungsberufe Drahtwarenmacher und Drahtwarenmacherin, Drahtzieher und Drahtzieherin, Federmacher und Federmacherin, Fräser und Fräserin, Gerätezusammensetzer und Gerätezusammensetzerin, Kabeljungwerker und Kabeljungwerkerin, Maschinenzusammensetzer und Maschinenzusammensetzerin, Metallschleifer und Metallschleiferin, Revolverdreher und Revolverdreherin, Schleifer und Schleiferin sowie Teilezurichter und Teilezurichterin bei Inkrafttreten dieser Verordnung bestehen, können unter Anrechnung der bisher zurückgelegten Ausbildungszeit nach den Vorschriften dieser Verordnung fortgesetzt werden, wenn die Vertragsparteien dies vereinbaren und noch keine Zwischenprüfung abgelegt wurde.</w:t>
      </w:r>
    </w:p>
    <w:p>
      <w:r>
        <w:rPr>
          <w:color w:val="555555"/>
          <w:sz w:val="17"/>
        </w:rPr>
        <w:t xml:space="preserve">Zitiervorschlag: § 15 MetTechAusbV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https://recht.nulegal.eu/gesetze/MetTechAusbV/15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