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MessbG — Messstelle</w:t>
      </w:r>
    </w:p>
    <w:p>
      <w:r>
        <w:rPr>
          <w:color w:val="555555"/>
          <w:sz w:val="18"/>
        </w:rPr>
        <w:t xml:space="preserve">Messstellenbetriebsgesetz</w:t>
      </w:r>
    </w:p>
    <w:p>
      <w:r>
        <w:rPr>
          <w:color w:val="555555"/>
          <w:sz w:val="18"/>
        </w:rPr>
        <w:t xml:space="preserve">Stand: 13.04.2025 (konsolidierte Textfassung, kein amtliches Inkrafttretensdatum)</w:t>
      </w:r>
    </w:p>
    <w:p>
      <w:r>
        <w:t xml:space="preserve">(1) Der Messstellenbetreiber bestimmt im Rahmen der Anforderungen dieses Gesetzes nach Konsultation mit dem Anschlussnehmer oder Anschlussnutzer Ort, Art, Zahl und Größe von Messeinrichtungen sowie, soweit erforderlich, von Steuerungseinrichtungen; dabei ist § 21 Absatz 3 anzuwenden. In den Fällen des § 14 Absatz 3 der Stromgrundversorgungsverordnung vom 26. Oktober 2006 (BGBl. I S. 2391) und des § 14 Absatz 3 der Gasgrundversorgungsverordnung vom 26. Oktober 2006 (BGBl. I S. 2391, 2396) hat der Messstellenbetreiber die Belange des Grundversorgers angemessen zu berücksichtigen, soweit dies technisch möglich ist.</w:t>
      </w:r>
    </w:p>
    <w:p>
      <w:r>
        <w:t xml:space="preserve">(2) Mess- und Steuerungseinrichtungen müssen den mess- und eichrechtlichen Vorschriften, den Anforderungen dieses Gesetzes, den auf Grund dieses Gesetzes erlassenen Rechtsverordnungen sowie den von dem Netzbetreiber einheitlich für sein Netzgebiet vorgesehenen technischen Mindestanforderungen an den Messstellenbetrieb genügen, soweit nicht die Bundesnetzagentur bundeseinheitliche Anforderungen nach § 47 Absatz 2 Nummer 15 festgelegt hat. Die technischen Mindestanforderungen des Netzbetreibers an den Messstellenbetrieb müssen sachlich gerechtfertigt, transparent und diskriminierungsfrei sein. Die Möglichkeit, zusätzliche Messfunktionen vorzusehen, bleibt unberührt.</w:t>
      </w:r>
    </w:p>
    <w:p>
      <w:r>
        <w:rPr>
          <w:color w:val="555555"/>
          <w:sz w:val="17"/>
        </w:rPr>
        <w:t xml:space="preserve">Zitiervorschlag: § 8 MessbG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https://recht.nulegal.eu/gesetze/MessbG/8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