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77 MessbG — Monitoring-Bericht der Bundesnetzagentur</w:t>
      </w:r>
    </w:p>
    <w:p>
      <w:r>
        <w:rPr>
          <w:color w:val="555555"/>
          <w:sz w:val="18"/>
        </w:rPr>
        <w:t xml:space="preserve">Messstellenbetriebsgesetz</w:t>
      </w:r>
    </w:p>
    <w:p>
      <w:r>
        <w:rPr>
          <w:color w:val="555555"/>
          <w:sz w:val="18"/>
        </w:rPr>
        <w:t xml:space="preserve">Stand: 04.01.2024 (konsolidierte Textfassung, kein amtliches Inkrafttretensdatum)</w:t>
      </w:r>
    </w:p>
    <w:p>
      <w:r>
        <w:t xml:space="preserve">In den Monitoring-Bericht der Bundesnetzagentur nach § 35 des Energiewirtschaftsgesetzes sind besondere Aspekte des Messstellenbetriebs aufzunehmen. Der Bericht soll Angaben enthalten</w:t>
      </w:r>
    </w:p>
    <w:p>
      <w:pPr>
        <w:ind w:left="420"/>
      </w:pPr>
      <w:r>
        <w:t xml:space="preserve">1. zur Wettbewerbssituation beim Messstellenbetrieb,</w:t>
      </w:r>
    </w:p>
    <w:p>
      <w:pPr>
        <w:ind w:left="420"/>
      </w:pPr>
      <w:r>
        <w:t xml:space="preserve">2. zur technischen Entwicklung bei modernen Messeinrichtungen und intelligenten Messsystemen,</w:t>
      </w:r>
    </w:p>
    <w:p>
      <w:pPr>
        <w:ind w:left="420"/>
      </w:pPr>
      <w:r>
        <w:t xml:space="preserve">3. zum Angebot variabler Tarife,</w:t>
      </w:r>
    </w:p>
    <w:p>
      <w:pPr>
        <w:ind w:left="420"/>
      </w:pPr>
      <w:r>
        <w:t xml:space="preserve">4. zu bundesweit einheitlichen Mindestanforderungen an Datenumfang und Datenqualität bei der energiewirtschaftlichen Datenkommunikation sowie</w:t>
      </w:r>
    </w:p>
    <w:p>
      <w:pPr>
        <w:ind w:left="420"/>
      </w:pPr>
      <w:r>
        <w:t xml:space="preserve">5. zum Angebot von Datenkommunikationsdiensten und Telekommunikationsdiensten für die Anbindung von Smart-Meter-Gateways.</w:t>
      </w:r>
    </w:p>
    <w:p>
      <w:r>
        <w:rPr>
          <w:color w:val="555555"/>
          <w:sz w:val="17"/>
        </w:rPr>
        <w:t xml:space="preserve">Zitiervorschlag: § 77 MessbG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https://recht.nulegal.eu/gesetze/MessbG/77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