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MessbG — Festlegungen der Bundesnetzagentur</w:t>
      </w:r>
    </w:p>
    <w:p>
      <w:r>
        <w:rPr>
          <w:color w:val="555555"/>
          <w:sz w:val="18"/>
        </w:rPr>
        <w:t xml:space="preserve">Messstellenbetriebsgesetz</w:t>
      </w:r>
    </w:p>
    <w:p>
      <w:r>
        <w:rPr>
          <w:color w:val="555555"/>
          <w:sz w:val="18"/>
        </w:rPr>
        <w:t xml:space="preserve">Stand: 24.12.2025 (konsolidierte Textfassung, kein amtliches Inkrafttretensdatum)</w:t>
      </w:r>
    </w:p>
    <w:p>
      <w:r>
        <w:t xml:space="preserve">Zur bundesweiten Vereinheitlichung der Bedingungen für den Messstellenbetrieb und der Datenverarbeitung kann die Bundesnetzagentur Festlegungen nach § 29 Absatz 1 des Energiewirtschaftsgesetzes treffen</w:t>
      </w:r>
    </w:p>
    <w:p>
      <w:pPr>
        <w:ind w:left="420"/>
      </w:pPr>
      <w:r>
        <w:t xml:space="preserve">1. im Sinne von § 52 zur Gewährleistung eines einheitlichen Sicherheitsstandards für die nicht unmittelbare Kommunikation mit dem intelligenten Messsystem im Benehmen mit dem Bundesamt für Sicherheit in der Informationstechnik,</w:t>
      </w:r>
    </w:p>
    <w:p>
      <w:pPr>
        <w:ind w:left="420"/>
      </w:pPr>
      <w:r>
        <w:t xml:space="preserve">2. zu den notwendigen Anforderungen an die Einhaltung der Transparenzvorgaben aus § 54, insbesondere Festlegungen zu einheitlichen Formaten und Formblättern,</w:t>
      </w:r>
    </w:p>
    <w:p>
      <w:pPr>
        <w:ind w:left="420"/>
      </w:pPr>
      <w:r>
        <w:t xml:space="preserve">3. zu den näheren Anforderungen nach Kapitel 2 und 3 Abschnitt 1 und 2, insbesondere zur Ausgestaltung der Pflichten der an der Datenkommunikation Beteiligten,</w:t>
      </w:r>
    </w:p>
    <w:p>
      <w:pPr>
        <w:ind w:left="420"/>
      </w:pPr>
      <w:r>
        <w:t xml:space="preserve">4. zur Plausibilisierung von Messwerten, zur Bildung von Ersatzwerten bei Messfehlern sowie zur sternförmigen Kommunikation im Sinne von § 60 Absatz 2 und zu diesbezüglichen Übergangsregelungen zur Markteinführung sowie ab 2026 auf Basis der Bewertung des Bundesamts für Sicherheit in der Informationstechnik nach § 60 Absatz 2 zur Plausibilisierung und Ersatzwertbildung im Smart-Meter-Gateway und zur Datenübermittlung über das Smart-Meter-Gateway direkt an die berechtigten Stellen sowie zu Sonderregelungen für die Bereiche Gas und Wasserstoff,</w:t>
      </w:r>
    </w:p>
    <w:p>
      <w:pPr>
        <w:ind w:left="420"/>
      </w:pPr>
      <w:r>
        <w:t xml:space="preserve">5. zu Regeln für die Marktkommunikation mit intelligenten Messsystemen,</w:t>
      </w:r>
    </w:p>
    <w:p>
      <w:pPr>
        <w:ind w:left="420"/>
      </w:pPr>
      <w:r>
        <w:t xml:space="preserve">6. zur Ausgestaltung der Standardkonfiguration des Smart-Meter-Gateways für die erforderliche Datenkommunikation im Sinne von § 60 Absatz 3 und 4,</w:t>
      </w:r>
    </w:p>
    <w:p>
      <w:pPr>
        <w:ind w:left="420"/>
      </w:pPr>
      <w:r>
        <w:t xml:space="preserve">7. zur Stammdatenübermittlung im Sinne von § 63,</w:t>
      </w:r>
    </w:p>
    <w:p>
      <w:pPr>
        <w:ind w:left="420"/>
      </w:pPr>
      <w:r>
        <w:t xml:space="preserve">8. zu Fällen notwendiger Datenverarbeitung, insbesondere zu Zwecken der zulässigen Datenverarbeitung und zur standardmäßigen Übermittlung im Sinne der §§ 66 bis 69,</w:t>
      </w:r>
    </w:p>
    <w:p>
      <w:pPr>
        <w:ind w:left="420"/>
      </w:pPr>
      <w:r>
        <w:t xml:space="preserve">9. zur Verpflichtung der zur Datenverarbeitung berechtigten Stellen, Messwerte zu löschen,</w:t>
      </w:r>
    </w:p>
    <w:p>
      <w:pPr>
        <w:ind w:left="420"/>
      </w:pPr>
      <w:r>
        <w:t xml:space="preserve">10. zu bundeseinheitlichen Regelungen zum Datenaustausch im Sinne der §§ 52 und 60 Absatz 1 zwischen den betroffenen Marktteilnehmern, insbesondere hinsichtlich Fristen, Formaten sowie Prozessen, die eine größtmögliche Automatisierung ermöglichen.</w:t>
      </w:r>
    </w:p>
    <w:p>
      <w:r>
        <w:t xml:space="preserve">Soweit die Aufgaben der oder des Bundesbeauftragen für den Datenschutz und die Informationsfreiheit betroffen sind, soll sich die Bundesnetzagentur mit ihr oder ihm ins Benehmen setzen.</w:t>
      </w:r>
    </w:p>
    <w:p>
      <w:r>
        <w:rPr>
          <w:color w:val="555555"/>
          <w:sz w:val="17"/>
        </w:rPr>
        <w:t xml:space="preserve">Zitiervorschlag: § 75 MessbG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https://recht.nulegal.eu/gesetze/MessbG/75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