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MessbG — Verfahren bei rechtswidriger Inanspruchnahme</w:t>
      </w:r>
    </w:p>
    <w:p>
      <w:r>
        <w:rPr>
          <w:color w:val="555555"/>
          <w:sz w:val="18"/>
        </w:rPr>
        <w:t xml:space="preserve">Messstellenbetriebsgesetz</w:t>
      </w:r>
    </w:p>
    <w:p>
      <w:r>
        <w:rPr>
          <w:color w:val="555555"/>
          <w:sz w:val="18"/>
        </w:rPr>
        <w:t xml:space="preserve">Stand: 02.12.2019 (konsolidierte Textfassung, kein amtliches Inkrafttretensdatum)</w:t>
      </w:r>
    </w:p>
    <w:p>
      <w:r>
        <w:t xml:space="preserve">(1) Wenn tatsächliche Anhaltspunkte für die rechtswidrige Inanspruchnahme von Messsystemen, intelligenten Messsystemen oder ihrer Dienste vorliegen, muss die nach § 49 berechtigte Stelle diese dokumentieren und den Anschlussnutzer hierüber informieren. Zur Sicherung ihres Entgeltanspruchs darf sie die Bestandsdaten und Verkehrsdaten verarbeiten, die erforderlich sind, um die rechtswidrige Inanspruchnahme nach Satz 1 aufzudecken und zu unterbinden. Die Bundesnetzagentur und die oder der Bundesbeauftragte für den Datenschutz und die Informationsfreiheit sind über Maßnahmen nach Satz 2 unverzüglich in Kenntnis zu setzen.</w:t>
      </w:r>
    </w:p>
    <w:p>
      <w:r>
        <w:t xml:space="preserve">(2) Die nach § 49 berechtigte Stelle darf für die Verarbeitung der Verkehrsdaten nach Absatz 1 aus dem Gesamtbestand aller Verkehrsdaten, die höchstens sechs Monate alt sind, die Daten derjenigen Verbindungen mit dem Messsystem oder dem intelligenten Messsystem ermitteln, für die tatsächliche Anhaltspunkte den Verdacht der rechtswidrigen Inanspruchnahme nach Absatz 1 Satz 1 begründen.</w:t>
      </w:r>
    </w:p>
    <w:p>
      <w:r>
        <w:t xml:space="preserve">(3) Die nach § 49 berechtigte Stelle darf aus den nach Absatz 2 ermittelten Verkehrsdaten einen pseudonymisierten Gesamtdatenbestand bilden, der Aufschluss über die von einzelnen Teilnehmern erzielten Umsätze gibt und unter Zugrundelegung geeigneter Missbrauchskriterien das Auffinden solcher Verbindungen des Messsystems oder des intelligenten Messsystems ermöglicht, bei denen der Verdacht einer missbräuchlichen Inanspruchnahme besteht. Die Daten anderer Verbindungen sind unverzüglich zu löschen.</w:t>
      </w:r>
    </w:p>
    <w:p>
      <w:r>
        <w:t xml:space="preserve">(4) Die Bundesnetzagentur und die oder der Bundesbeauftragte für den Datenschutz und die Informationsfreiheit sind über die Einleitung eines Verfahrens im Zusammenhang mit Maßnahmen nach Absatz 1 unverzüglich in Kenntnis zu setzen.</w:t>
      </w:r>
    </w:p>
    <w:p>
      <w:r>
        <w:rPr>
          <w:color w:val="555555"/>
          <w:sz w:val="17"/>
        </w:rPr>
        <w:t xml:space="preserve">Zitiervorschlag: § 73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