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MessbG — Öffentliche Verbrauchseinrichtungen</w:t>
      </w:r>
    </w:p>
    <w:p>
      <w:r>
        <w:rPr>
          <w:color w:val="555555"/>
          <w:sz w:val="18"/>
        </w:rPr>
        <w:t xml:space="preserve">Messstellenbetriebsgesetz</w:t>
      </w:r>
    </w:p>
    <w:p>
      <w:r>
        <w:rPr>
          <w:color w:val="555555"/>
          <w:sz w:val="18"/>
        </w:rPr>
        <w:t xml:space="preserve">Stand: 10.06.2019 (konsolidierte Textfassung, kein amtliches Inkrafttretensdatum)</w:t>
      </w:r>
    </w:p>
    <w:p>
      <w:r>
        <w:t xml:space="preserve">Bei öffentlichen Verbrauchseinrichtungen kann die abgenommene Strommenge auch rechnerisch ermittelt oder geschätzt werden, wenn die Kosten einer Messung außer Verhältnis zur Höhe des Verbrauchs stehen. Dies trifft insbesondere auf im Verteilernetz angeschlossene Anlagen zur Straßenbeleuchtung zu, wenn deren Ein- und Ausschaltzeiten bekannt sind und der Lastverlauf berechenbar ist.</w:t>
      </w:r>
    </w:p>
    <w:p>
      <w:r>
        <w:rPr>
          <w:color w:val="555555"/>
          <w:sz w:val="17"/>
        </w:rPr>
        <w:t xml:space="preserve">Zitiervorschlag: § 72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