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MessbG — Nachprüfung der Messeinrichtung; Haftung bei Beschädigungen</w:t>
      </w:r>
    </w:p>
    <w:p>
      <w:r>
        <w:rPr>
          <w:color w:val="555555"/>
          <w:sz w:val="18"/>
        </w:rPr>
        <w:t xml:space="preserve">Messstellenbetriebsgesetz</w:t>
      </w:r>
    </w:p>
    <w:p>
      <w:r>
        <w:rPr>
          <w:color w:val="555555"/>
          <w:sz w:val="18"/>
        </w:rPr>
        <w:t xml:space="preserve">Stand: 10.06.2019 (konsolidierte Textfassung, kein amtliches Inkrafttretensdatum)</w:t>
      </w:r>
    </w:p>
    <w:p>
      <w:r>
        <w:t xml:space="preserve">(1) Der Anschlussnutzer, der Bilanzkoordinator, der Energielieferant oder der Netzbetreiber kann jederzeit eine Nachprüfung der Messeinrichtung durch eine Befundprüfung nach § 39 des Mess- und Eichgesetzes durch eine Eichbehörde oder eine staatlich anerkannte Prüfstelle im Sinne des § 40 Absatz 3 des Mess- und Eichgesetzes verlangen. Ergibt die Befundprüfung, dass die Messeinrichtung nicht verwendet werden darf, so trägt der Messstellenbetreiber die Kosten der Nachprüfung, sonst derjenige, der die Prüfung in Auftrag gegeben hat. Die sonstigen Möglichkeiten zur Durchführung einer Befundprüfung nach § 39 des Mess- und Eichgesetzes bleiben unberührt.</w:t>
      </w:r>
    </w:p>
    <w:p>
      <w:r>
        <w:t xml:space="preserve">(2) Wird der Antrag auf Nachprüfung nicht bei dem Messstellenbetreiber gestellt, so hat der Antragsteller diesen zugleich mit der Antragstellung zu benachrichtigen. Ergibt die Befundprüfung, dass die Messeinrichtung nicht verwendet werden darf, trägt der Messstellenbetreiber die Kosten der Nachprüfung, sonst der Antragsteller.</w:t>
      </w:r>
    </w:p>
    <w:p>
      <w:r>
        <w:t xml:space="preserve">(3) Ergibt eine Prüfung der Messeinrichtungen eine Überschreitung der eichrechtlichen Verkehrsfehlergrenzen oder ist die Größe des Fehlers nicht einwandfrei festzustellen oder zeigt eine Messeinrichtung Messwerte nicht an, so ermittelt der Messstellenbetreiber die Daten für die Zeit seit der letzten fehlerfreien Ablesung entweder aus dem Durchschnittsverbrauch des ihr vorhergehenden und des der Beseitigung des Fehlers nachfolgenden Ablesezeitraumes oder auf Grund des Vorjahreswertes durch Schätzung, soweit aus Parallelmessungen vorhandene Messwerte keine ausreichende Verlässlichkeit bieten.</w:t>
      </w:r>
    </w:p>
    <w:p>
      <w:r>
        <w:rPr>
          <w:color w:val="555555"/>
          <w:sz w:val="17"/>
        </w:rPr>
        <w:t xml:space="preserve">Zitiervorschlag: § 71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