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MessbG — Messwertverarbeitung zu Zwecken des Energielieferanten; Übermittlungspflicht; Löschung oder Anonymisierung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Energielieferant darf erhaltene Messwerte ausschließlich verarbeiten, soweit dies zu folgenden Zwecken zwingend erforderlich ist:</w:t>
      </w:r>
    </w:p>
    <w:p>
      <w:pPr>
        <w:ind w:left="420"/>
      </w:pPr>
      <w:r>
        <w:t xml:space="preserve">1. Abrechnung des Energieversorgungsvertrages einschließlich vorheriger Tarifierung von Messwerten sowie Bereitstellung von Abrechnungsinformationen an den Letztverbraucher nach § 40b des Energiewirtschaftsgesetzes,</w:t>
      </w:r>
    </w:p>
    <w:p>
      <w:pPr>
        <w:ind w:left="420"/>
      </w:pPr>
      <w:r>
        <w:t xml:space="preserve">2. Durchführung eines Lieferantenwechsels,</w:t>
      </w:r>
    </w:p>
    <w:p>
      <w:pPr>
        <w:ind w:left="420"/>
      </w:pPr>
      <w:r>
        <w:t xml:space="preserve">3. Durchführung eines Tarifwechsels,</w:t>
      </w:r>
    </w:p>
    <w:p>
      <w:pPr>
        <w:ind w:left="420"/>
      </w:pPr>
      <w:r>
        <w:t xml:space="preserve">4. Änderung des Messverfahrens,</w:t>
      </w:r>
    </w:p>
    <w:p>
      <w:pPr>
        <w:ind w:left="420"/>
      </w:pPr>
      <w:r>
        <w:t xml:space="preserve">5. Überprüfung der Bilanzkreis- und Netznutzungsabrechnung,</w:t>
      </w:r>
    </w:p>
    <w:p>
      <w:pPr>
        <w:ind w:left="420"/>
      </w:pPr>
      <w:r>
        <w:t xml:space="preserve">6. Erstellung der Energiemengenprognose,</w:t>
      </w:r>
    </w:p>
    <w:p>
      <w:pPr>
        <w:ind w:left="420"/>
      </w:pPr>
      <w:r>
        <w:t xml:space="preserve">7. (weggefallen)</w:t>
      </w:r>
    </w:p>
    <w:p>
      <w:pPr>
        <w:ind w:left="420"/>
      </w:pPr>
      <w:r>
        <w:t xml:space="preserve">8. Erfüllung weiterer sich aus den Festlegungen der Bundesnetzagentur nach § 75 ergebender Pflichten.</w:t>
      </w:r>
    </w:p>
    <w:p>
      <w:r>
        <w:t xml:space="preserve">(2) Standardmäßig übermittelt der Energielieferant</w:t>
      </w:r>
    </w:p>
    <w:p>
      <w:pPr>
        <w:ind w:left="420"/>
      </w:pPr>
      <w:r>
        <w:t xml:space="preserve">1. an den Letztverbraucher die im Zusammenhang mit der Abrechnung der Belieferung von Energie erforderlichen Informationen,</w:t>
      </w:r>
    </w:p>
    <w:p>
      <w:pPr>
        <w:ind w:left="420"/>
      </w:pPr>
      <w:r>
        <w:t xml:space="preserve">2. an den Letztverbraucher die im Zusammenhang mit dem Tarif stehenden Informationen,</w:t>
      </w:r>
    </w:p>
    <w:p>
      <w:pPr>
        <w:ind w:left="420"/>
      </w:pPr>
      <w:r>
        <w:t xml:space="preserve">3. an den Bilanzkreisverantwortlichen die für das Bilanzkreisdatenclearing erforderlichen Informationen.</w:t>
      </w:r>
    </w:p>
    <w:p>
      <w:r>
        <w:t xml:space="preserve">(3) Der Energielieferant muss sämtliche personenbezogenen Messwerte unter Beachtung mess- und eichrechtlicher Vorgaben löschen oder im Sinne von § 52 Absatz 3 Satz 2 anonymisieren, sobald für seine Aufgabenwahrnehmung eine Speicherung personenbezogener Messwerte nicht mehr erforderlich ist. Soweit in einer Festlegung der Bundesnetzagentur nach § 47 Absatz 2 Nummer 13 oder nach § 75 nicht etwas anderes bestimmt ist, gilt eine Speicherung im Sinne von Satz 1 als nicht mehr erforderlich</w:t>
      </w:r>
    </w:p>
    <w:p>
      <w:pPr>
        <w:ind w:left="420"/>
      </w:pPr>
      <w:r>
        <w:t xml:space="preserve">1. in den Fällen des Absatzes 1 Nummer 6 spätestens nach einem Jahr ab dem Schluss des Kalenderjahres, in dem der jeweilige Messwert erhoben wurde,</w:t>
      </w:r>
    </w:p>
    <w:p>
      <w:pPr>
        <w:ind w:left="420"/>
      </w:pPr>
      <w:r>
        <w:t xml:space="preserve">2. im Übrigen drei Jahre ab dem Schluss des Kalenderjahres, in dem der jeweilige Messwert erhoben wurde.</w:t>
      </w:r>
    </w:p>
    <w:p>
      <w:r>
        <w:rPr>
          <w:color w:val="555555"/>
          <w:sz w:val="17"/>
        </w:rPr>
        <w:t xml:space="preserve">Zitiervorschlag: § 69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