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MessbG — Messwertverarbeitung zu Zwecken des Bilanzkreisverantwortlichen; Übermittlungspflicht; Löschung oder Anonymisierung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Der Bilanzkreisverantwortliche darf erhaltene Messwerte ausschließlich verarbeiten, soweit dies zu folgenden Zwecken zwingend erforderlich ist:</w:t>
      </w:r>
    </w:p>
    <w:p>
      <w:pPr>
        <w:ind w:left="420"/>
      </w:pPr>
      <w:r>
        <w:t xml:space="preserve">1. Bilanzkreisbewirtschaftung, insbesondere zur Erstellung von Last- und Einspeiseprognosen und zur Vermeidung von Bilanzkreisabweichungen,</w:t>
      </w:r>
    </w:p>
    <w:p>
      <w:pPr>
        <w:ind w:left="420"/>
      </w:pPr>
      <w:r>
        <w:t xml:space="preserve">2. Überprüfung der Bilanzkreisabrechnung,</w:t>
      </w:r>
    </w:p>
    <w:p>
      <w:pPr>
        <w:ind w:left="420"/>
      </w:pPr>
      <w:r>
        <w:t xml:space="preserve">3. Erfüllung weiterer sich aus den Festlegungen der Bundesnetzagentur nach § 75 ergebender Pflichten.</w:t>
      </w:r>
    </w:p>
    <w:p>
      <w:r>
        <w:t xml:space="preserve">(2) Der Bilanzkreisverantwortliche muss sämtliche personenbezogenen Messwerte unter Beachtung mess- und eichrechtlicher Vorgaben löschen oder im Sinne von § 52 Absatz 3 Satz 2 anonymisieren, sobald für seine Aufgabenwahrnehmung eine Speicherung personenbezogener Messwerte nicht mehr erforderlich ist. Soweit in einer Festlegung der Bundesnetzagentur nach § 47 Absatz 2 Nummer 13 oder nach § 75 nicht etwas anderes bestimmt ist, gilt eine Speicherung im Sinne von Satz 1 als nicht mehr erforderlich</w:t>
      </w:r>
    </w:p>
    <w:p>
      <w:pPr>
        <w:ind w:left="420"/>
      </w:pPr>
      <w:r>
        <w:t xml:space="preserve">1. in den Fällen des Absatzes 1 Nummer 1 spätestens nach einem Jahr ab dem Schluss des Kalenderjahres, in dem der jeweilige Messwert erhoben wurde,</w:t>
      </w:r>
    </w:p>
    <w:p>
      <w:pPr>
        <w:ind w:left="420"/>
      </w:pPr>
      <w:r>
        <w:t xml:space="preserve">2. im Übrigen drei Jahre ab dem Schluss des Kalenderjahres, in dem der jeweilige Messwert erhoben wurde.</w:t>
      </w:r>
    </w:p>
    <w:p>
      <w:r>
        <w:rPr>
          <w:color w:val="555555"/>
          <w:sz w:val="17"/>
        </w:rPr>
        <w:t xml:space="preserve">Zitiervorschlag: § 68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