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MessbG — Messwertverarbeitung zu Zwecken des Übertragungsnetzbetriebs und der Bilanzkoordination;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Betreiber von Übertragungsnetzen darf erhaltene Messwerte neben den in § 66 Absatz 1 genannten Zwecken auch verarbeiten, soweit dies für folgende Zwecke zwingend erforderlich ist:</w:t>
      </w:r>
    </w:p>
    <w:p>
      <w:pPr>
        <w:ind w:left="420"/>
      </w:pPr>
      <w:r>
        <w:t xml:space="preserve">1. Erbringungskontrolle und Abrechnung von Regelleistung aus dezentralen Anlagen,</w:t>
      </w:r>
    </w:p>
    <w:p>
      <w:pPr>
        <w:ind w:left="420"/>
      </w:pPr>
      <w:r>
        <w:t xml:space="preserve">2. Prognose der Abnahmestellen mit Eigenerzeugung zur Verbesserung der Vermarktung nach § 57 des Erneuerbare-Energien-Gesetzes,</w:t>
      </w:r>
    </w:p>
    <w:p>
      <w:pPr>
        <w:ind w:left="420"/>
      </w:pPr>
      <w:r>
        <w:t xml:space="preserve">3. Information zur aktuellen Einspeisung aus Photovoltaikanlagen,</w:t>
      </w:r>
    </w:p>
    <w:p>
      <w:pPr>
        <w:ind w:left="420"/>
      </w:pPr>
      <w:r>
        <w:t xml:space="preserve">4. Verbesserung der von Direktvermarktungsunternehmern und Netzbetreibern genutzten Kurzfristprognosen und Hochrechnungen der Ist-Einspeisung,</w:t>
      </w:r>
    </w:p>
    <w:p>
      <w:pPr>
        <w:ind w:left="420"/>
      </w:pPr>
      <w:r>
        <w:t xml:space="preserve">5. Kontrolle und Vergütung von Kapazitätsverpflichtungen und zur Abschätzung der maximalen Residuallast,</w:t>
      </w:r>
    </w:p>
    <w:p>
      <w:pPr>
        <w:ind w:left="420"/>
      </w:pPr>
      <w:r>
        <w:t xml:space="preserve">6. Erstattung von finanziellen Förderungen und vermiedenen Netzentgelten nach § 13 des Energiefinanzierungsgesetzes,</w:t>
      </w:r>
    </w:p>
    <w:p>
      <w:pPr>
        <w:ind w:left="420"/>
      </w:pPr>
      <w:r>
        <w:t xml:space="preserve">7. Erhebung von Umlagen nach dem Energiefinanzierungsgesetz,</w:t>
      </w:r>
    </w:p>
    <w:p>
      <w:pPr>
        <w:ind w:left="420"/>
      </w:pPr>
      <w:r>
        <w:t xml:space="preserve">8. Erfüllung weiterer sich aus den Festlegungen der Bundesnetzagentur nach § 75 ergebender Pflichten.</w:t>
      </w:r>
    </w:p>
    <w:p>
      <w:r>
        <w:t xml:space="preserve">(2) Standardmäßig übermittelt der Betreiber von Übertragungsnetzen die zur Erfüllung von sich aus den Festlegungen der Bundesnetzagentur nach § 75 ergebenden Pflichten erforderlichen Daten.</w:t>
      </w:r>
    </w:p>
    <w:p>
      <w:r>
        <w:t xml:space="preserve">(3) Der Übertragungsnetzbetreiber muss personenbezogene Messwerte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als nicht mehr erforderlich</w:t>
      </w:r>
    </w:p>
    <w:p>
      <w:pPr>
        <w:ind w:left="420"/>
      </w:pPr>
      <w:r>
        <w:t xml:space="preserve">1. in den Fällen des Absatzes 1 Nummer 1 bezüglich der Erbringungskontrolle von Regelleistung aus dezentralen Anlagen, des Absatzes 1 Nummer 3 und 4 sowie des § 66 Absatz 1 Nummer 3 und 4 spätestens nach einem Jahr ab dem Schluss des Kalenderjahres, in dem der jeweilige Messwert erhoben wurde,</w:t>
      </w:r>
    </w:p>
    <w:p>
      <w:pPr>
        <w:ind w:left="420"/>
      </w:pPr>
      <w:r>
        <w:t xml:space="preserve">2. im Übrigen drei Jahre ab dem Schluss des Kalenderjahres, in dem der jeweilige Messwert erhoben wurde.</w:t>
      </w:r>
    </w:p>
    <w:p>
      <w:r>
        <w:rPr>
          <w:color w:val="555555"/>
          <w:sz w:val="17"/>
        </w:rPr>
        <w:t xml:space="preserve">Zitiervorschlag: § 67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