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MessbG — Messwertnutzung zu Zwecken des Netzbetreibers; Übermittlungspflicht; Löschung oder Anonymisierung</w:t>
      </w:r>
    </w:p>
    <w:p>
      <w:r>
        <w:rPr>
          <w:color w:val="555555"/>
          <w:sz w:val="18"/>
        </w:rPr>
        <w:t xml:space="preserve">Messstellenbetriebsgesetz</w:t>
      </w:r>
    </w:p>
    <w:p>
      <w:r>
        <w:rPr>
          <w:color w:val="555555"/>
          <w:sz w:val="18"/>
        </w:rPr>
        <w:t xml:space="preserve">Stand: 24.12.2025 (konsolidierte Textfassung, kein amtliches Inkrafttretensdatum)</w:t>
      </w:r>
    </w:p>
    <w:p>
      <w:r>
        <w:t xml:space="preserve">(1) Der Netzbetreiber darf erhaltene Messwerte ausschließlich verarbeiten, soweit dies für folgende Zwecke zwingend erforderlich ist:</w:t>
      </w:r>
    </w:p>
    <w:p>
      <w:pPr>
        <w:ind w:left="420"/>
      </w:pPr>
      <w:r>
        <w:t xml:space="preserve">1. zur Durchführung der Netznutzungsabrechnung,</w:t>
      </w:r>
    </w:p>
    <w:p>
      <w:pPr>
        <w:ind w:left="420"/>
      </w:pPr>
      <w:r>
        <w:t xml:space="preserve">2. zur Abwicklung der Abnahme- und Förderpflichten nach dem Erneuerbare-Energien-Gesetz und dem Kraft-Wärme-Kopplungsgesetz,</w:t>
      </w:r>
    </w:p>
    <w:p>
      <w:pPr>
        <w:ind w:left="420"/>
      </w:pPr>
      <w:r>
        <w:t xml:space="preserve">3. zum sicheren, zuverlässigen und leistungsfähigen Betrieb und zu einer optimierten Planung des Energieversorgungsnetzes sowie zur Erstellung von Last- und Einspeiseprognosen zwecks datengestützter Optimierung, Verstärkung und Ausbaus des Energieversorgungsnetzes,</w:t>
      </w:r>
    </w:p>
    <w:p>
      <w:pPr>
        <w:ind w:left="420"/>
      </w:pPr>
      <w:r>
        <w:t xml:space="preserve">4. zur netzplanerischen Berücksichtigung und netzbetrieblichen Durchführung von Maßnahmen nach den §§ 13a und 14a des Energiewirtschaftsgesetzes, insbesondere durch eine dynamische Steuerung anhand der tatsächlichen sowie der prognostizierten Netzauslastung,</w:t>
      </w:r>
    </w:p>
    <w:p>
      <w:pPr>
        <w:ind w:left="420"/>
      </w:pPr>
      <w:r>
        <w:t xml:space="preserve">5. zur Bestimmung der Konzessionsabgabe nach der Konzessionsabgabenverordnung,</w:t>
      </w:r>
    </w:p>
    <w:p>
      <w:pPr>
        <w:ind w:left="420"/>
      </w:pPr>
      <w:r>
        <w:t xml:space="preserve">6. zur effizienten Bewirtschaftung seines Differenzbilanz- und Netzverlustbilanzkreises, einschließlich Prognosen zur Vermeidung von Bilanzkreisabweichungen und zur Verbesserung von Standardlastprofilen,</w:t>
      </w:r>
    </w:p>
    <w:p>
      <w:pPr>
        <w:ind w:left="420"/>
      </w:pPr>
      <w:r>
        <w:t xml:space="preserve">7. zur Erhebung von Umlagen nach dem Energiefinanzierungsgesetz,</w:t>
      </w:r>
    </w:p>
    <w:p>
      <w:pPr>
        <w:ind w:left="420"/>
      </w:pPr>
      <w:r>
        <w:t xml:space="preserve">8. zur Überprüfung der Verpflichtungen von Netzbetreibern zur Erstellung des Gesamtberichtes nach § 12 Absatz 2a bis 2c des Energiewirtschaftsgesetzes,</w:t>
      </w:r>
    </w:p>
    <w:p>
      <w:pPr>
        <w:ind w:left="420"/>
      </w:pPr>
      <w:r>
        <w:t xml:space="preserve">9. zur Erfüllung weiterer sich aus den Festlegungen der Bundesnetzagentur nach § 20 Absatz 3 des Energiewirtschaftsgesetzes sowie nach § 75 dieses Gesetzes ergebender Pflichten.</w:t>
      </w:r>
    </w:p>
    <w:p>
      <w:r>
        <w:t xml:space="preserve">(2) Standardmäßig übermittelt der Netzbetreiber monatlich für den Vormonat</w:t>
      </w:r>
    </w:p>
    <w:p>
      <w:pPr>
        <w:ind w:left="420"/>
      </w:pPr>
      <w:r>
        <w:t xml:space="preserve">1. dem Energielieferanten für die Überprüfung der Bilanzkreis- und Netznutzungsabrechnung Leistungswerte sowie Arbeitswerte von Einzelzählpunkten,</w:t>
      </w:r>
    </w:p>
    <w:p>
      <w:pPr>
        <w:ind w:left="420"/>
      </w:pPr>
      <w:r>
        <w:t xml:space="preserve">2. die zur Erfüllung weiterer, sich aus den Festlegungen der Bundesnetzagentur nach § 75 ergebender Pflichten erforderlichen Daten.</w:t>
      </w:r>
    </w:p>
    <w:p>
      <w:r>
        <w:t xml:space="preserve">(3) Der Netzbetreiber muss sämtliche personenbezogenen Messwerte löschen oder im Sinne von § 52 Absatz 3 Satz 2 anonymisieren, sobald für seine Aufgabenwahrnehmung eine Speicherung personenbezogener Messwerte nicht mehr erforderlich ist. Soweit in einer Festlegung der Bundesnetzagentur nach § 47 Absatz 2 Nummer 13 oder nach § 75 nicht etwas anderes bestimmt ist, gilt eine Speicherung im Sinne von Satz 1 als nicht mehr erforderlich</w:t>
      </w:r>
    </w:p>
    <w:p>
      <w:pPr>
        <w:ind w:left="420"/>
      </w:pPr>
      <w:r>
        <w:t xml:space="preserve">1. in den Fällen des Absatzes 1 Nummer 3 und 5 spätestens nach einem Jahr ab dem Schluss des Kalenderjahres, in dem der jeweilige Messwert erhoben wurde,</w:t>
      </w:r>
    </w:p>
    <w:p>
      <w:pPr>
        <w:ind w:left="420"/>
      </w:pPr>
      <w:r>
        <w:t xml:space="preserve">2. im Übrigen drei Jahre ab dem Schluss des Kalenderjahres, in dem der jeweilige Messwert erhoben wurde.</w:t>
      </w:r>
    </w:p>
    <w:p>
      <w:r>
        <w:rPr>
          <w:color w:val="555555"/>
          <w:sz w:val="17"/>
        </w:rPr>
        <w:t xml:space="preserve">Zitiervorschlag: § 66 MessbG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https://recht.nulegal.eu/gesetze/MessbG/66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