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MessbG — Löschung von übermittelten Netzzustandsdaten</w:t>
      </w:r>
    </w:p>
    <w:p>
      <w:r>
        <w:rPr>
          <w:color w:val="555555"/>
          <w:sz w:val="18"/>
        </w:rPr>
        <w:t xml:space="preserve">Messstellenbetriebsgesetz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Messstellenbetreiber haben personenbezogene Netzzustandsdaten nach erfolgreicher Übermittlung unverzüglich zu löschen.</w:t>
      </w:r>
    </w:p>
    <w:p>
      <w:r>
        <w:rPr>
          <w:color w:val="555555"/>
          <w:sz w:val="17"/>
        </w:rPr>
        <w:t xml:space="preserve">Zitiervorschlag: § 64 MessbG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https://recht.nulegal.eu/gesetze/MessbG/64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