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58 MessbG — Messwerterhebung Gas</w:t>
      </w:r>
    </w:p>
    <w:p>
      <w:r>
        <w:rPr>
          <w:color w:val="555555"/>
          <w:sz w:val="18"/>
        </w:rPr>
        <w:t xml:space="preserve">Messstellenbetriebsgesetz</w:t>
      </w:r>
    </w:p>
    <w:p>
      <w:r>
        <w:rPr>
          <w:color w:val="555555"/>
          <w:sz w:val="18"/>
        </w:rPr>
        <w:t xml:space="preserve">Stand: 24.12.2025 (konsolidierte Textfassung, kein amtliches Inkrafttretensdatum)</w:t>
      </w:r>
    </w:p>
    <w:p>
      <w:r>
        <w:t xml:space="preserve">(1) Die Messung entnommenen Gases erfolgt</w:t>
      </w:r>
    </w:p>
    <w:p>
      <w:pPr>
        <w:ind w:left="420"/>
      </w:pPr>
      <w:r>
        <w:t xml:space="preserve">1. bei Letztverbrauchern, bei denen keine vereinfachten Methoden (Standardlastprofile) zur Anwendung kommen, sowie bei Letztverbrauchern mit intelligenten Messsystemen durch eine stündliche registrierende Leistungsmessung,</w:t>
      </w:r>
    </w:p>
    <w:p>
      <w:pPr>
        <w:ind w:left="420"/>
      </w:pPr>
      <w:r>
        <w:t xml:space="preserve">2. bei allen anderen Letztverbrauchern durch kontinuierliche Erfassung der entnommenen Gasmenge entsprechend dem abgeschlossenen Gasliefervertrag.</w:t>
      </w:r>
    </w:p>
    <w:p>
      <w:r>
        <w:t xml:space="preserve">(2) Im Falle eines Lieferantenwechsels im Sinne des § 20a des Energiewirtschaftsgesetzes ist für die Ermittlung des Verbrauchswerts zum Zeitpunkt des Lieferantenwechsels ein einheitliches Verfahren zugrunde zu legen. Sofern für die Abrechnung kein Messwert ermittelt werden kann, kann ihn der Messstellenbetreiber schätzen. Im Falle einer Schätzung ist der Verbrauch zeitanteilig zu berechnen; jahreszeitliche Verbrauchsschwankungen sind auf der Grundlage der für Haushaltskunden maßgeblichen Erfahrungswerte angemessen zu berücksichtigen.</w:t>
      </w:r>
    </w:p>
    <w:p>
      <w:r>
        <w:t xml:space="preserve">(3) In den Fällen des Absatzes 1 Nummer 1 sind für die Messung Datenübertragungssysteme einzurichten, die die stündlich registrierten Ausspeisewerte in maschinenlesbarer Form an Transportkunden nach § 3 Nummer 93 des Energiewirtschaftsgesetzes, an die an der Erbringung von Ausgleichsleistungen beteiligten Netzbetreiber und auf Verlangen an den Ausspeisenetzbetreiber übermitteln.</w:t>
      </w:r>
    </w:p>
    <w:p>
      <w:r>
        <w:t xml:space="preserve">(4) Ein Letztverbraucher im Sinne des § 24 der Gasnetzzugangsverordnung ist als Anschlussnutzer berechtigt, im Einvernehmen mit seinem Lieferanten von dem Messstellenbetreiber eine Messung nach Absatz 1 zu verlangen, sofern der Lieferant mit dem Netzbetreiber die Anwendung des Lastgangzählverfahrens vereinbart hat. Netzbetreiber und Messstellenbetreiber sind im Falle eines solchen Verlangens zur Aufnahme entsprechender Vereinbarungen in die Verträge nach § 9 verpflichtet.</w:t>
      </w:r>
    </w:p>
    <w:p>
      <w:r>
        <w:rPr>
          <w:color w:val="555555"/>
          <w:sz w:val="17"/>
        </w:rPr>
        <w:t xml:space="preserve">Zitiervorschlag: § 58 MessbG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https://recht.nulegal.eu/gesetze/MessbG/58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