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MessbG — Erhebung von Stammdaten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dieses Gesetz, eine Rechtsverordnung nach den §§ 46 und 74 oder Festlegungen der Bundesnetzagentur nach § 75 es erfordern, können vom Messstellenbetreiber Stammdaten im erforderlichen Umfang und zum erforderlichen Zeitpunkt erhoben werden, insbesondere</w:t>
      </w:r>
    </w:p>
    <w:p>
      <w:pPr>
        <w:ind w:left="420"/>
      </w:pPr>
      <w:r>
        <w:t xml:space="preserve">1. bei jedem erstmaligen Anschluss einer Anlage an ein intelligentes Messsystem und</w:t>
      </w:r>
    </w:p>
    <w:p>
      <w:pPr>
        <w:ind w:left="420"/>
      </w:pPr>
      <w:r>
        <w:t xml:space="preserve">2. bei jeder wesentlichen Änderung eines Stammdatums.</w:t>
      </w:r>
    </w:p>
    <w:p>
      <w:r>
        <w:rPr>
          <w:color w:val="555555"/>
          <w:sz w:val="17"/>
        </w:rPr>
        <w:t xml:space="preserve">Zitiervorschlag: § 57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