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MessbG — Transparenzvorgaben für Verträge</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Bestandteil vertraglicher Regelungen, die eine Datenkommunikation durch das oder mit Hilfe des Smart-Meter-Gateways auslösen, muss ein leicht verständliches Formblatt sein, in dem kurz, einfach, übersichtlich und verständlich die sich aus dem Vertrag ergebende Datenkommunikation aufgelistet wird. Das Formblatt enthält insbesondere Angaben dazu, wer welche Daten von wem wie oft zu welchem Zweck erhält.</w:t>
      </w:r>
    </w:p>
    <w:p>
      <w:r>
        <w:t xml:space="preserve">(2) Die Bundesnetzagentur kann in Festlegungen nach § 75 Satz 1 Nummer 2 bundesweit einheitliche Vorgaben zu Verträgen und einem Formblatt machen.</w:t>
      </w:r>
    </w:p>
    <w:p>
      <w:r>
        <w:t xml:space="preserve">(3) Anschlussnutzer erhalten die ihre Messstelle betreffenden Formblätter in Kopie.</w:t>
      </w:r>
    </w:p>
    <w:p>
      <w:r>
        <w:rPr>
          <w:color w:val="555555"/>
          <w:sz w:val="17"/>
        </w:rPr>
        <w:t xml:space="preserve">Zitiervorschlag: § 54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