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MessbG — Anforderungen an die Verarbeitung von Daten beim Smart-Meter-Gateway; Rolle des Smart-Meter-Gateway-Administrators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Um eine Verarbeitung von Daten aus dem intelligenten Messsystem oder mit Hilfe des intelligenten Messsystems zu ermöglichen, müssen die nach § 49 Absatz 2 berechtigten Stellen dem Smart-Meter-Gateway-Administrator vorab die nach § 25 Absatz 3 notwendigen Informationen übermitteln.</w:t>
      </w:r>
    </w:p>
    <w:p>
      <w:r>
        <w:t xml:space="preserve">(2) Liegen dem Smart-Meter-Gateway-Administrator die nach Absatz 1 notwendigen Informationen vor, nimmt er unverzüglich die notwendigen Konfigurationen am Smart-Meter-Gateway vor, um im Auftrag des jeweiligen Berechtigten die Verarbeitung der Daten zu ermöglichen, soweit es der technische Betrieb zulässt; die Priorisierung aus § 25 Absatz 1 Satz 2 zugunsten der energiewirtschaftlich erforderlichen Anwendungen ist zu beachten.</w:t>
      </w:r>
    </w:p>
    <w:p>
      <w:r>
        <w:rPr>
          <w:color w:val="555555"/>
          <w:sz w:val="17"/>
        </w:rPr>
        <w:t xml:space="preserve">Zitiervorschlag: § 51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