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MessbG — Folgen einer erfolgreichen Übertragung der Grundzuständigkeit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Das Unternehmen, das den Zuschlag erhält, übernimmt die Grundzuständigkeit für den Messstellenbetrieb für moderne Messeinrichtungen und intelligente Messsysteme, insbesondere die Verpflichtungen aus § 29, zu den von ihm im Angebot beschriebenen Bedingungen. Der abgebende grundzuständige Messstellenbetreiber wird insoweit von seinen Verpflichtungen aus Teil 2 Kapitel 4 dieses Gesetzes befreit; bei ihm verbleibt die Zuständigkeit für die Messstellen ohne moderne Messeinrichtungen und intelligente Messsysteme.</w:t>
      </w:r>
    </w:p>
    <w:p>
      <w:r>
        <w:t xml:space="preserve">(2) Zur Übernahme der Grundzuständigkeit werden Verträge entsprechend § 14 Absatz 2 über die Durchführung des Messstellenbetreiberwechsels zwischen den Messstellenbetreibern geschlossen.</w:t>
      </w:r>
    </w:p>
    <w:p>
      <w:r>
        <w:t xml:space="preserve">(3) Der vormalige grundzuständige Messstellenbetreiber hat dem neuen grundzuständigen Messstellenbetreiber alle Informationen zu übergeben, die für den Messstellenbetrieb von modernen Messeinrichtungen und intelligenten Messsystemen erforderlich sind.</w:t>
      </w:r>
    </w:p>
    <w:p>
      <w:r>
        <w:t xml:space="preserve">(4) Der Wechsel der Grundzuständigkeit ist vom übernehmenden Messstellenbetreiber unverzüglich im Bundesanzeiger bekannt zu machen sowie der Bundesnetzagentur anzuzeigen.</w:t>
      </w:r>
    </w:p>
    <w:p>
      <w:r>
        <w:rPr>
          <w:color w:val="555555"/>
          <w:sz w:val="17"/>
        </w:rPr>
        <w:t xml:space="preserve">Zitiervorschlag: § 43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