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MessbG — Liegenschaftsmodernisierung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Wechsel des Messstellenbetreibers auf Veranlassung des Anschlussnehmers nach § 6 zur Liegenschaftsmodernisierung gelten die Durchführungsvorschriften des Kapitels 2 entsprechend.</w:t>
      </w:r>
    </w:p>
    <w:p>
      <w:r>
        <w:t xml:space="preserve">(2) Über den gebündelten Messstellenbetrieb für die Liegenschaft wird ein Vertrag zwischen Anschlussnehmer und Messstellenbetreiber geschlossen.</w:t>
      </w:r>
    </w:p>
    <w:p>
      <w:r>
        <w:rPr>
          <w:color w:val="555555"/>
          <w:sz w:val="17"/>
        </w:rPr>
        <w:t xml:space="preserve">Zitiervorschlag: § 39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