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MessbG — Informationspflichten des grundzuständigen Messstellenbetreibers</w:t>
      </w:r>
    </w:p>
    <w:p>
      <w:r>
        <w:rPr>
          <w:color w:val="555555"/>
          <w:sz w:val="18"/>
        </w:rPr>
        <w:t xml:space="preserve">Messstellenbetriebsgesetz</w:t>
      </w:r>
    </w:p>
    <w:p>
      <w:r>
        <w:rPr>
          <w:color w:val="555555"/>
          <w:sz w:val="18"/>
        </w:rPr>
        <w:t xml:space="preserve">Stand: 24.12.2025 (konsolidierte Textfassung, kein amtliches Inkrafttretensdatum)</w:t>
      </w:r>
    </w:p>
    <w:p>
      <w:r>
        <w:t xml:space="preserve">(1) Grundzuständige Messstellenbetreiber haben mindestens zum 31. Oktober eines jeden Jahres Informationen zu veröffentlichen über</w:t>
      </w:r>
    </w:p>
    <w:p>
      <w:pPr>
        <w:ind w:left="420"/>
      </w:pPr>
      <w:r>
        <w:t xml:space="preserve">1. den Umfang ihrer Verpflichtungen aus § 29,</w:t>
      </w:r>
    </w:p>
    <w:p>
      <w:pPr>
        <w:ind w:left="420"/>
      </w:pPr>
      <w:r>
        <w:t xml:space="preserve">2. ihre Standardleistungen nach § 34 Absatz 1 und</w:t>
      </w:r>
    </w:p>
    <w:p>
      <w:pPr>
        <w:ind w:left="420"/>
      </w:pPr>
      <w:r>
        <w:t xml:space="preserve">3. mögliche Zusatzleistungen im Sinne von § 34 Absatz 2.</w:t>
      </w:r>
    </w:p>
    <w:p>
      <w:r>
        <w:t xml:space="preserve">Die Veröffentlichung hat auch Preisblätter mit voraussichtlichen jährlichen Preisangaben für mindestens drei Jahre zu beinhalten. Preisangaben für Zusatzleistungen nach § 34 Absatz 2 sind mindestens alle zwei Jahre zu überprüfen und erforderlichenfalls anzupassen.</w:t>
      </w:r>
    </w:p>
    <w:p>
      <w:r>
        <w:t xml:space="preserve">(2) Spätestens drei Monate vor der Ausstattung der Messstelle mit einem intelligenten Messsystem nach § 29 Absatz 1 Nummer 1 und Absatz 2 oder mit einem intelligenten Messsystem und einer Steuerungseinrichtung nach § 29 Absatz 1 Nummer 2 hat der grundzuständige Messstellenbetreiber den betroffenen Anschlussnutzer, Anschlussnehmer, Anlagenbetreiber sowie Messstellenbetreiber zu informieren und auf die Möglichkeit zur freien Wahl eines Messstellenbetreibers nach den §§ 5 und 6 sowie den Anschlussnutzer auf die erstmalige Möglichkeit zur Wahl des Messstellenbetreibers nach § 5 Absatz 1 Satz 2 zwei Jahre ab der Ausstattung der Messstelle mit einem intelligenten Messsystem oder mit einem intelligentem Messsystem und einer Steuerungseinrichtung hinzuweisen.</w:t>
      </w:r>
    </w:p>
    <w:p>
      <w:r>
        <w:rPr>
          <w:color w:val="555555"/>
          <w:sz w:val="17"/>
        </w:rPr>
        <w:t xml:space="preserve">Zitiervorschlag: § 37 MessbG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https://recht.nulegal.eu/gesetze/MessbG/37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