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MessbG — Angemessenes Entgelt für Zusatzleistungen des grundzuständigen Messstellenbetreibers</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Der grundzuständige Messstellenbetreiber darf für seine Zusatzleistungen nach § 34 Absatz 2 und 3 zuzüglich zu den in § 30 genannten Entgelten ein zusätzliches angemessenes Entgelt erheben. Die Angemessenheit des zusätzlichen Entgelts wird hinsichtlich der nachfolgend genannten Zusatzleistungen ab dem 1. Januar 2025 vermutet, wenn jeweils nicht mehr als die folgenden Höchstbeträge brutto in Rechnung gestellt werden:</w:t>
      </w:r>
    </w:p>
    <w:p>
      <w:pPr>
        <w:ind w:left="420"/>
      </w:pPr>
      <w:r>
        <w:t xml:space="preserve">1. für die vorzeitige Ausstattung von Messstellen an Zählpunkten der Sparte Elektrizität mit einem intelligenten Messsystem nach § 34 Absatz 2 Satz 2 Nummer 1 nicht mehr als einmalig 100 Euro sowie bei optionalen Einbaufällen nach § 29 Absatz 2 ein laufendes Zusatzentgelt von nicht mehr als 30 Euro jährlich; bei nicht von § 29 Absatz 1 oder Absatz 2 erfassten Messstellen darf zusätzlich ein jährliches Entgelt erhoben werden, das die Preisobergrenzen einhält, welche in entsprechender Anwendung von § 30 für den jeweiligen Unterzählpunkt anzuwenden sein würden,</w:t>
      </w:r>
    </w:p>
    <w:p>
      <w:pPr>
        <w:ind w:left="420"/>
      </w:pPr>
      <w:r>
        <w:t xml:space="preserve">2. für Leistungen nach § 34 Absatz 2 Satz 2 Nummer 10 nicht mehr als jeweils 30 Euro jährlich.</w:t>
      </w:r>
    </w:p>
    <w:p>
      <w:r>
        <w:t xml:space="preserve">(2) Das angemessene Entgelt nach Absatz 1 darf keine Kosten enthalten, die beim grundzuständigen Messstellenbetreiber in Erfüllung der Pflichten nach den §§ 29 bis 32 ohnehin anfallen würden.</w:t>
      </w:r>
    </w:p>
    <w:p>
      <w:r>
        <w:t xml:space="preserve">(3) Solange und soweit die Bundesnetzagentur eine Festlegung nach § 33 getroffen hat, sind ab dem in der Festlegung vorgesehenen Datum die dort festgesetzten Höchstbeträge anstelle der in Absatz 1 Satz 2 geregelten Vermutungsregelungen anzuwenden.</w:t>
      </w:r>
    </w:p>
    <w:p>
      <w:r>
        <w:rPr>
          <w:color w:val="555555"/>
          <w:sz w:val="17"/>
        </w:rPr>
        <w:t xml:space="preserve">Zitiervorschlag: § 35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