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MessbG — Wirtschaftliche Vertretbarkeit der Ausstattung von Messstellen mit modernen Messeinrichtungen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Ausstattung einer Messstelle mit einer modernen Messeinrichtung nach § 29 Absatz 3 ist wirtschaftlich vertretbar, wenn für den Messstellenbetrieb für jeden Zählpunkt nicht mehr als 25 Euro brutto jährlich in Rechnung gestellt werden. § 61 Absatz 3 gilt entsprechend.</w:t>
      </w:r>
    </w:p>
    <w:p>
      <w:r>
        <w:t xml:space="preserve">(2) Sobald die Bundesnetzagentur eine Festlegung nach § 33 erlassen hat, sind die dort festgesetzten Preisobergrenzen anstelle der in Absatz 1 Satz 1 geregelten Preisobergrenze anzuwenden.</w:t>
      </w:r>
    </w:p>
    <w:p>
      <w:r>
        <w:rPr>
          <w:color w:val="555555"/>
          <w:sz w:val="17"/>
        </w:rPr>
        <w:t xml:space="preserve">Zitiervorschlag: § 32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