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MessbG — Agiler Rollout, Anwendungsupdate</w:t>
      </w:r>
    </w:p>
    <w:p>
      <w:r>
        <w:rPr>
          <w:color w:val="555555"/>
          <w:sz w:val="18"/>
        </w:rPr>
        <w:t xml:space="preserve">Messstellenbetriebsgesetz</w:t>
      </w:r>
    </w:p>
    <w:p>
      <w:r>
        <w:rPr>
          <w:color w:val="555555"/>
          <w:sz w:val="18"/>
        </w:rPr>
        <w:t xml:space="preserve">Stand: 13.04.2025 (konsolidierte Textfassung, kein amtliches Inkrafttretensdatum)</w:t>
      </w:r>
    </w:p>
    <w:p>
      <w:r>
        <w:t xml:space="preserve">(1) Messstellenbetreiber können den Rollout nach § 30 Absatz 1 bis 3 im Bereich der Niederspannung bei Messstellen an Zählpunkten mit einem Jahresstromverbrauch bis einschließlich 100 000 Kilowattstunden und bei Messstellen an Zählpunkten von Anlagen mit einer installierten Leistung bis einschließlich 25 Kilowatt auch mit intelligenten Messsystemen beginnen, bei denen eine oder mehrere der folgenden Anwendungen jeweils nicht schon zum Zeitpunkt des Einbaus, sondern spätestens bis zum Ablauf des 31. Dezember 2025 durch ein Anwendungsupdate zur Verfügung gestellt werden können:</w:t>
      </w:r>
    </w:p>
    <w:p>
      <w:pPr>
        <w:ind w:left="420"/>
      </w:pPr>
      <w:r>
        <w:t xml:space="preserve">1. Anwendungen zur Protokollierung im Sinne von § 21 Absatz 1 Nummer 1,</w:t>
      </w:r>
    </w:p>
    <w:p>
      <w:pPr>
        <w:ind w:left="420"/>
      </w:pPr>
      <w:r>
        <w:t xml:space="preserve">2. Anwendungen zur Fernsteuerbarkeit im Sinne von § 21 Absatz 1 Nummer 1 Buchstabe c oder</w:t>
      </w:r>
    </w:p>
    <w:p>
      <w:pPr>
        <w:ind w:left="420"/>
      </w:pPr>
      <w:r>
        <w:t xml:space="preserve">3. Anwendungen zur Übermittlung von Stammdaten im Sinne von § 21 Absatz 1 Nummer 6.</w:t>
      </w:r>
    </w:p>
    <w:p>
      <w:r>
        <w:t xml:space="preserve">Satz 1 findet auch auf die Ausstattung mit intelligenten Messsystemen durch nach den §§ 5 oder 6 beauftragte Dritte Anwendung.</w:t>
      </w:r>
    </w:p>
    <w:p>
      <w:r>
        <w:t xml:space="preserve">(2) Für die Ausstattung einer Messstelle mit einem intelligenten Messsystem nach Absatz 1 finden die §§ 30 und 35 Anwendung.</w:t>
      </w:r>
    </w:p>
    <w:p>
      <w:r>
        <w:rPr>
          <w:color w:val="555555"/>
          <w:sz w:val="17"/>
        </w:rPr>
        <w:t xml:space="preserve">Zitiervorschlag: § 31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