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MessbG — Aufrechterhaltung eines einheitlichen Sicherheitsniveaus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Zur Sicherstellung und Aufrechterhaltung eines bundesweit einheitlichen Sicherheitsniveaus für den Betrieb von zertifizierten Smart-Meter-Gateways führt das Bundesamt für Sicherheit in der Informationstechnik im Einvernehmen mit der Physikalisch-Technischen Bundesanstalt und der Bundesnetzagentur soweit erforderlich folgende Maßnahmen durch:</w:t>
      </w:r>
    </w:p>
    <w:p>
      <w:pPr>
        <w:ind w:left="420"/>
      </w:pPr>
      <w:r>
        <w:t xml:space="preserve">1. die Analyse, Priorisierung und eine in Abhängigkeit von Lebenszyklus und Bedrohungslage differenzierte Bewertung von Schwachstellen von Smart-Meter-Gateways sowie die Entscheidung über Software-Updates zu deren Behebung und über sonstige Maßnahmen des Smart-Meter-Gateway-Administrators,</w:t>
      </w:r>
    </w:p>
    <w:p>
      <w:pPr>
        <w:ind w:left="420"/>
      </w:pPr>
      <w:r>
        <w:t xml:space="preserve">2. die Planung und Erarbeitung von neuen Versionen der Schutzprofile und Technischen Richtlinien nach § 22 Absatz 2,</w:t>
      </w:r>
    </w:p>
    <w:p>
      <w:pPr>
        <w:ind w:left="420"/>
      </w:pPr>
      <w:r>
        <w:t xml:space="preserve">3. die Einbringung von neuen Versionen der Schutzprofile und Technischen Richtlinien nach § 22 Absatz 2 in das Verfahren nach § 27 und deren anschließende Freigabe.</w:t>
      </w:r>
    </w:p>
    <w:p>
      <w:r>
        <w:t xml:space="preserve">Bei Gefahr im Verzug tritt an die Stelle des Einvernehmens nach Satz 1 eine nachträgliche Informationspflicht des Bundesamtes für Sicherheit in der Informationstechnik gegenüber den in Satz 1 genannten Behörden.</w:t>
      </w:r>
    </w:p>
    <w:p>
      <w:r>
        <w:t xml:space="preserve">(2) Geeignete Informationen stellt das Bundesamt für Sicherheit in der Informationstechnik auf seinen Internetseiten[5] bereit. Das Bundesministerium für Wirtschaft und Energie ist von sämtlichen ergriffenen Maßnahmen vorab oder bei Gefahr im Verzug nachträglich zu informieren.</w:t>
      </w:r>
    </w:p>
    <w:p>
      <w:r>
        <w:t xml:space="preserve">5 Amtlicher Hinweis: Die Internetadresse lautet www.bsi.bund.de.</w:t>
      </w:r>
    </w:p>
    <w:p>
      <w:r>
        <w:rPr>
          <w:color w:val="555555"/>
          <w:sz w:val="17"/>
        </w:rPr>
        <w:t xml:space="preserve">Zitiervorschlag: § 26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