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MessbG — Sichere Anbindung an das Smart-Meter-Gateway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Das Smart-Meter-Gateway eines intelligenten Messsystems muss zur Gewährleistung von Datenschutz, Datensicherheit und Interoperabilität nach dem Stand der Technik folgende Komponenten und Anlagen sicher in ein Kommunikationsnetz einbinden können:</w:t>
      </w:r>
    </w:p>
    <w:p>
      <w:pPr>
        <w:ind w:left="420"/>
      </w:pPr>
      <w:r>
        <w:t xml:space="preserve">1. moderne Messeinrichtungen,</w:t>
      </w:r>
    </w:p>
    <w:p>
      <w:pPr>
        <w:ind w:left="420"/>
      </w:pPr>
      <w:r>
        <w:t xml:space="preserve">2. Erzeugungsanlagen nach dem Erneuerbare-Energien-Gesetz und dem Kraft-Wärme-Kopplungsgesetz,</w:t>
      </w:r>
    </w:p>
    <w:p>
      <w:pPr>
        <w:ind w:left="420"/>
      </w:pPr>
      <w:r>
        <w:t xml:space="preserve">3. Anlagen im Sinne von § 14a des Energiewirtschaftsgesetzes und sonstige technische Einrichtungen und</w:t>
      </w:r>
    </w:p>
    <w:p>
      <w:pPr>
        <w:ind w:left="420"/>
      </w:pPr>
      <w:r>
        <w:t xml:space="preserve">4. Messeinrichtungen für Gas im Sinne von § 20 Absatz 1.</w:t>
      </w:r>
    </w:p>
    <w:p>
      <w:r>
        <w:t xml:space="preserve">(2) Die Einhaltung des Standes der Technik im Sinne von Absatz 1 wird vermutet, wenn die Schutzprofile und Technischen Richtlinien nach § 22 Absatz 2 in der jeweils geltenden Fassung eingehalten werden.</w:t>
      </w:r>
    </w:p>
    <w:p>
      <w:r>
        <w:t xml:space="preserve">(3) Absatz 1 ist nicht für Messsysteme anzuwenden, die nach Maßgabe von § 19 Absatz 5 Satz 1 eingebaut werden können, dabei ist § 19 Absatz 6 zu beachten.</w:t>
      </w:r>
    </w:p>
    <w:p>
      <w:r>
        <w:rPr>
          <w:color w:val="555555"/>
          <w:sz w:val="17"/>
        </w:rPr>
        <w:t xml:space="preserve">Zitiervorschlag: § 23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