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21 MessbG — Mindestanforderungen an intelligente Messsysteme</w:t>
      </w:r>
    </w:p>
    <w:p>
      <w:r>
        <w:rPr>
          <w:color w:val="555555"/>
          <w:sz w:val="18"/>
        </w:rPr>
        <w:t xml:space="preserve">Messstellenbetriebsgesetz</w:t>
      </w:r>
    </w:p>
    <w:p>
      <w:r>
        <w:rPr>
          <w:color w:val="555555"/>
          <w:sz w:val="18"/>
        </w:rPr>
        <w:t xml:space="preserve">Stand: 25.06.2023 (konsolidierte Textfassung, kein amtliches Inkrafttretensdatum)</w:t>
      </w:r>
    </w:p>
    <w:p>
      <w:r>
        <w:t xml:space="preserve">(1) Ein intelligentes Messsystem muss nach dem Stand der Technik nach Maßgabe des § 22</w:t>
      </w:r>
    </w:p>
    <w:p>
      <w:pPr>
        <w:ind w:left="420"/>
      </w:pPr>
      <w:r>
        <w:t xml:space="preserve">1. die zuverlässige Verarbeitung, insbesondere Erhebung, Übermittlung, Protokollierung, Speicherung und Löschung, von aus Messeinrichtungen stammenden Messwerten gewährleisten, um</w:t>
      </w:r>
    </w:p>
    <w:p>
      <w:pPr>
        <w:ind w:left="780"/>
      </w:pPr>
      <w:r>
        <w:t xml:space="preserve">a) eine Messwertverarbeitung zu Abrechnungszwecken durchführen zu können,</w:t>
      </w:r>
    </w:p>
    <w:p>
      <w:pPr>
        <w:ind w:left="780"/>
      </w:pPr>
      <w:r>
        <w:t xml:space="preserve">b) eine Zählerstandsgangmessung bei Letztverbrauchern, von Anlagen im Sinne von § 14a des Energiewirtschaftsgesetzes und von Erzeugungsanlagen nach dem Erneuerbare-Energien-Gesetz und dem Kraft-Wärme-Kopplungsgesetz durchführen zu können,</w:t>
      </w:r>
    </w:p>
    <w:p>
      <w:pPr>
        <w:ind w:left="780"/>
      </w:pPr>
      <w:r>
        <w:t xml:space="preserve">c) die zuverlässige Administration und Fernsteuerbarkeit dieser Anlagen zu gewährleisten,</w:t>
      </w:r>
    </w:p>
    <w:p>
      <w:pPr>
        <w:ind w:left="780"/>
      </w:pPr>
      <w:r>
        <w:t xml:space="preserve">d) die jeweilige Ist-Einspeisung von Erzeugungsanlagen nach dem Erneuerbare-Energien-Gesetz und dem Kraft-Wärme-Kopplungsgesetz abrufen zu können und</w:t>
      </w:r>
    </w:p>
    <w:p>
      <w:pPr>
        <w:ind w:left="780"/>
      </w:pPr>
      <w:r>
        <w:t xml:space="preserve">e) Netzzustandsdaten messen, zeitnah übertragen und Protokolle über Spannungsausfälle mit Datum und Zeit erstellen zu können,</w:t>
      </w:r>
    </w:p>
    <w:p>
      <w:pPr>
        <w:ind w:left="420"/>
      </w:pPr>
      <w:r>
        <w:t xml:space="preserve">2. eine Visualisierung des Verbrauchsverhaltens des Letztverbrauchers ermöglichen, um diesem</w:t>
      </w:r>
    </w:p>
    <w:p>
      <w:pPr>
        <w:ind w:left="780"/>
      </w:pPr>
      <w:r>
        <w:t xml:space="preserve">a) den tatsächlichen Energieverbrauch sowie Informationen über die tatsächliche Nutzungszeit bereitzustellen,</w:t>
      </w:r>
    </w:p>
    <w:p>
      <w:pPr>
        <w:ind w:left="780"/>
      </w:pPr>
      <w:r>
        <w:t xml:space="preserve">b) abrechnungsrelevante Tarifinformationen und zugehörige abrechnungsrelevante Messwerte zur Überprüfung der Abrechnung bereitzustellen,</w:t>
      </w:r>
    </w:p>
    <w:p>
      <w:pPr>
        <w:ind w:left="780"/>
      </w:pPr>
      <w:r>
        <w:t xml:space="preserve">c) historische Energieverbrauchswerte entsprechend den Zeiträumen der Abrechnung und Verbrauchsinformationen nach § 40b des Energiewirtschaftsgesetzes für die drei vorangegangenen Jahre zur Verfügung stellen zu können,</w:t>
      </w:r>
    </w:p>
    <w:p>
      <w:pPr>
        <w:ind w:left="780"/>
      </w:pPr>
      <w:r>
        <w:t xml:space="preserve">d) historische tages-, wochen-, monats- und jahresbezogene Energieverbrauchswerte sowie die Zählerstandsgänge für die letzten 24 Monate zur Verfügung stellen zu können und</w:t>
      </w:r>
    </w:p>
    <w:p>
      <w:pPr>
        <w:ind w:left="780"/>
      </w:pPr>
      <w:r>
        <w:t xml:space="preserve">e) die Informationen aus § 53 zur Verfügung zu stellen,</w:t>
      </w:r>
    </w:p>
    <w:p>
      <w:pPr>
        <w:ind w:left="420"/>
      </w:pPr>
      <w:r>
        <w:t xml:space="preserve">3. sichere Verbindungen in Kommunikationsnetzen durchsetzen, um</w:t>
      </w:r>
    </w:p>
    <w:p>
      <w:pPr>
        <w:ind w:left="780"/>
      </w:pPr>
      <w:r>
        <w:t xml:space="preserve">a) über eine sichere und leistungsfähige Fernkommunikationstechnik die sichere Administration und Übermittlung von Daten unter Beachtung der mess- und eichrechtlichen und der datenschutzrechtlichen Vorgaben zu ermöglichen, wobei das Smart-Meter-Gateway neben der verwendeten für eine weitere vom Smart-Meter-Gateway-Administrator vermittelte und überwachte zusätzliche, zuverlässige und leistungsfähige Art der Fernkommunikation offen sein muss,</w:t>
      </w:r>
    </w:p>
    <w:p>
      <w:pPr>
        <w:ind w:left="780"/>
      </w:pPr>
      <w:r>
        <w:t xml:space="preserve">b) eine interne und externe Tarifierung sowie eine Parametrierung der Tarifierung im Smart-Meter-Gateway durch dessen Administrator unter Beachtung der eich- und datenschutzrechtlichen Vorgaben zu ermöglichen,</w:t>
      </w:r>
    </w:p>
    <w:p>
      <w:pPr>
        <w:ind w:left="780"/>
      </w:pPr>
      <w:r>
        <w:t xml:space="preserve">c) einen gesicherten Empfang von Messwerten von Strom-, Gas-, Wasser- und Wärmezählern sowie von Heizwärmemessgeräten zu ermöglichen und</w:t>
      </w:r>
    </w:p>
    <w:p>
      <w:pPr>
        <w:ind w:left="780"/>
      </w:pPr>
      <w:r>
        <w:t xml:space="preserve">d) eine gesicherte Anbindung von Erzeugungsanlagen, Anzeigeeinheiten und weiteren lokalen Systemen zu ermöglichen,</w:t>
      </w:r>
    </w:p>
    <w:p>
      <w:pPr>
        <w:ind w:left="420"/>
      </w:pPr>
      <w:r>
        <w:t xml:space="preserve">4. ein Smart-Meter-Gateway beinhalten, das</w:t>
      </w:r>
    </w:p>
    <w:p>
      <w:pPr>
        <w:ind w:left="780"/>
      </w:pPr>
      <w:r>
        <w:t xml:space="preserve">a) offen für weitere Anwendungen und Dienste ist und dabei über die Möglichkeit zur Priorisierung von bestimmten Anwendungen verfügt, wobei nach Anforderung der Netzbetreiber ausgewählte energiewirtschaftliche und in der Zuständigkeit der Netzbetreiber liegende Messungen und Schaltungen stets, vorrangig und ausschließlich durch den Smart-Meter-Gateway-Administrator über das Smart-Meter-Gateway ermöglicht werden müssen,</w:t>
      </w:r>
    </w:p>
    <w:p>
      <w:pPr>
        <w:ind w:left="780"/>
      </w:pPr>
      <w:r>
        <w:t xml:space="preserve">b) ausschließlich durch den Smart-Meter-Gateway-Administrator konfigurierbar ist und</w:t>
      </w:r>
    </w:p>
    <w:p>
      <w:pPr>
        <w:ind w:left="780"/>
      </w:pPr>
      <w:r>
        <w:t xml:space="preserve">c) Software-Aktualisierungen empfangen und verarbeiten kann,</w:t>
      </w:r>
    </w:p>
    <w:p>
      <w:pPr>
        <w:ind w:left="420"/>
      </w:pPr>
      <w:r>
        <w:t xml:space="preserve">5. die Grenzen für den maximalen Eigenstromverbrauch für das Smart-Meter-Gateway und andere typischerweise an das intelligente Messsystem angebundene Komponenten einhalten, die von der Bundesnetzagentur nach § 47 Absatz 1 Nummer 4 festgelegt werden und</w:t>
      </w:r>
    </w:p>
    <w:p>
      <w:pPr>
        <w:ind w:left="420"/>
      </w:pPr>
      <w:r>
        <w:t xml:space="preserve">6. die Stammdaten angeschlossener Anlagen nach § 14a des Energiewirtschaftsgesetzes sowie nach dem Erneuerbare-Energien-Gesetz und dem Kraft-Wärme-Kopplungsgesetz übermitteln können.</w:t>
      </w:r>
    </w:p>
    <w:p>
      <w:r>
        <w:t xml:space="preserve">(2) Die in Absatz 1 genannten Mindestanforderungen müssen mit Ausnahme von Nummer 5 nicht von Messsystemen erfüllt werden, die nach Maßgabe von § 19 Absatz 5 Satz 1 eingebaut werden können, dabei ist § 19 Absatz 6 zu beachten.</w:t>
      </w:r>
    </w:p>
    <w:p>
      <w:r>
        <w:t xml:space="preserve">(3) Für mehrere Zählpunkte können die Anforderungen nach Absatz 1 auch mit nur einem Smart-Meter-Gateway leitungsgebunden oder drahtlos in räumlicher Nähe einer Liegenschaft realisiert werden, soweit die Einsichts- und Informationsrechte nach den §§ 53 und 61 sowie die gleichen Funktions- und Sicherheitsanforderungen wie bei der Bündelung der Zählpunkte an einem Netzanschluss gewährleistet sind. Als räumlicher Nahbereich einer Liegenschaft gelten auch Zählpunkte an mehreren Netzanschlüssen im Bereich desselben Netzknotens gleicher Spannungsebene. Erfordert die Umsetzung von Satz 1 wesentliche Änderungen und Ergänzungen im Sinne von § 27 Absatz 1 Satz 1 zweiter Halbsatz, so haben diese bis zum Ablauf des 31. Dezember 2024 zu erfolgen.</w:t>
      </w:r>
    </w:p>
    <w:p>
      <w:r>
        <w:rPr>
          <w:color w:val="555555"/>
          <w:sz w:val="17"/>
        </w:rPr>
        <w:t xml:space="preserve">Zitiervorschlag: § 21 MessbG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https://recht.nulegal.eu/gesetze/MessbG/21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