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MessbG — Mitteilungspflichten beim Übergang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neue Messstellenbetreiber ist verpflichtet, den nach § 49 berechtigten Stellen, bezogen auf die betroffene Messstelle, unverzüglich mitzuteilen:</w:t>
      </w:r>
    </w:p>
    <w:p>
      <w:pPr>
        <w:ind w:left="420"/>
      </w:pPr>
      <w:r>
        <w:t xml:space="preserve">1. den Zeitpunkt des Übergangs des Messstellenbetriebs und</w:t>
      </w:r>
    </w:p>
    <w:p>
      <w:pPr>
        <w:ind w:left="420"/>
      </w:pPr>
      <w:r>
        <w:t xml:space="preserve">2. seinen Namen, die ladungsfähige Anschrift und das zuständige Registergericht sowie Angaben, die eine schnelle elektronische Kontaktaufnahme ermöglichen, einschließlich der Adresse der elektronischen Post.</w:t>
      </w:r>
    </w:p>
    <w:p>
      <w:r>
        <w:t xml:space="preserve">Ist kein intelligentes Messsystem vorhanden, genügt eine Mitteilung an den Energielieferanten und den Netzbetreiber.</w:t>
      </w:r>
    </w:p>
    <w:p>
      <w:r>
        <w:rPr>
          <w:color w:val="555555"/>
          <w:sz w:val="17"/>
        </w:rPr>
        <w:t xml:space="preserve">Zitiervorschlag: § 15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