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MessbG — Wechsel des Messstellenbetreibers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Anschlussnutzer hat seinem Messstellenbetreiber in Textform zu erklären, dass er beabsichtigt, nach § 5 Absatz 1 einen anderen Messstellenbetreiber mit dem Messstellenbetrieb zu beauftragen. Die Erklärung nach Satz 1 muss folgende Angaben enthalten:</w:t>
      </w:r>
    </w:p>
    <w:p>
      <w:pPr>
        <w:ind w:left="420"/>
      </w:pPr>
      <w:r>
        <w:t xml:space="preserve">1. den Namen und die ladungsfähige Anschrift des Anschlussnutzers sowie bei Unternehmen, die in das Handelsregister eingetragen sind, das Registergericht und die Registernummer,</w:t>
      </w:r>
    </w:p>
    <w:p>
      <w:pPr>
        <w:ind w:left="420"/>
      </w:pPr>
      <w:r>
        <w:t xml:space="preserve">2. die Entnahmestelle mit Adresse, Zählernummer oder den Zählpunkt mit Adresse und Nummer,</w:t>
      </w:r>
    </w:p>
    <w:p>
      <w:pPr>
        <w:ind w:left="420"/>
      </w:pPr>
      <w:r>
        <w:t xml:space="preserve">3. den Namen und die ladungsfähige Anschrift des neuen Messstellenbetreibers sowie bei Unternehmen, die in das Handelsregister eingetragen sind, das Registergericht und die Registernummer, und</w:t>
      </w:r>
    </w:p>
    <w:p>
      <w:pPr>
        <w:ind w:left="420"/>
      </w:pPr>
      <w:r>
        <w:t xml:space="preserve">4. den Zeitpunkt, zu dem der Wechsel vollzogen werden soll.</w:t>
      </w:r>
    </w:p>
    <w:p>
      <w:r>
        <w:t xml:space="preserve">(2) Soweit die Bundesnetzagentur eine Festlegung nach § 47 Absatz 2 Nummer 5 und 7 getroffen hat, müssen Messstellenbetreiber, Netzbetreiber, Energielieferanten und Bilanzkreisverantwortliche für Durchführung und Abwicklung des Wechsels des Messstellenbetreibers das festgelegte Verfahren und Format nutzen.</w:t>
      </w:r>
    </w:p>
    <w:p>
      <w:r>
        <w:t xml:space="preserve">(3) Für den Wechsel des Messstellenbetreibers darf kein gesondertes Entgelt erhoben werden.</w:t>
      </w:r>
    </w:p>
    <w:p>
      <w:r>
        <w:rPr>
          <w:color w:val="555555"/>
          <w:sz w:val="17"/>
        </w:rPr>
        <w:t xml:space="preserve">Zitiervorschlag: § 14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