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MessbG — Nutzung des Verteilernetzes zur Datenübertragung</w:t>
      </w:r>
    </w:p>
    <w:p>
      <w:r>
        <w:rPr>
          <w:color w:val="555555"/>
          <w:sz w:val="18"/>
        </w:rPr>
        <w:t xml:space="preserve">Messstellenbetriebsgesetz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Messstellenbetreiber ist berechtigt, zur Messdatenübertragung gegen ein angemessenes und diskriminierungsfreies Entgelt im Rahmen der technischen Möglichkeiten Zugang zum Elektrizitätsverteilernetz des Netzbetreibers zu erhalten.</w:t>
      </w:r>
    </w:p>
    <w:p>
      <w:r>
        <w:rPr>
          <w:color w:val="555555"/>
          <w:sz w:val="17"/>
        </w:rPr>
        <w:t xml:space="preserve">Zitiervorschlag: § 13 MessbG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https://recht.nulegal.eu/gesetze/MessbG/13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