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MessbG — Zweck und Anwendungsbereich</w:t>
      </w:r>
    </w:p>
    <w:p>
      <w:r>
        <w:rPr>
          <w:color w:val="555555"/>
          <w:sz w:val="18"/>
        </w:rPr>
        <w:t xml:space="preserve">Messstellenbetriebsgesetz</w:t>
      </w:r>
    </w:p>
    <w:p>
      <w:r>
        <w:rPr>
          <w:color w:val="555555"/>
          <w:sz w:val="18"/>
        </w:rPr>
        <w:t xml:space="preserve">Stand: 25.06.2023 (konsolidierte Textfassung, kein amtliches Inkrafttretensdatum)</w:t>
      </w:r>
    </w:p>
    <w:p>
      <w:r>
        <w:t xml:space="preserve">Zweck dieses Gesetzes ist die beschleunigte Digitalisierung der Energiewende im Interesse einer nachhaltigen, verbrauchergerechten und treibhausgasneutralen Energieversorgung, eines verbesserten, datengestützten Netzbetriebs und einer effizienten und nachhaltigen, datengestützten Netzplanung. Dazu trifft es Regelungen</w:t>
      </w:r>
    </w:p>
    <w:p>
      <w:pPr>
        <w:ind w:left="420"/>
      </w:pPr>
      <w:r>
        <w:t xml:space="preserve">1. zur Ausstattung von Messstellen der leitungsgebundenen Energieversorgung mit modernen Messeinrichtungen und intelligenten Messsystemen,</w:t>
      </w:r>
    </w:p>
    <w:p>
      <w:pPr>
        <w:ind w:left="420"/>
      </w:pPr>
      <w:r>
        <w:t xml:space="preserve">2. zur Ausgestaltung des Messstellenbetriebs und zur freien Wahl eines Messstellenbetreibers,</w:t>
      </w:r>
    </w:p>
    <w:p>
      <w:pPr>
        <w:ind w:left="420"/>
      </w:pPr>
      <w:r>
        <w:t xml:space="preserve">3. zur Aufgabentrennung von Messstellenbetrieb und Netzbetrieb,</w:t>
      </w:r>
    </w:p>
    <w:p>
      <w:pPr>
        <w:ind w:left="420"/>
      </w:pPr>
      <w:r>
        <w:t xml:space="preserve">4. zu technischen Mindestanforderungen an Smart-Meter-Gateways und den Einsatz von intelligenten Messsystemen,</w:t>
      </w:r>
    </w:p>
    <w:p>
      <w:pPr>
        <w:ind w:left="420"/>
      </w:pPr>
      <w:r>
        <w:t xml:space="preserve">5. zur energiewirtschaftlichen Datenkommunikation und zur allgemeinen Datenkommunikation mit Smart-Meter-Gateways,</w:t>
      </w:r>
    </w:p>
    <w:p>
      <w:pPr>
        <w:ind w:left="420"/>
      </w:pPr>
      <w:r>
        <w:t xml:space="preserve">6. zur Verarbeitung von Messwerten und weiteren personenbezogenen Daten zur Erfüllung von vorvertraglichen Verpflichtungen, von Verträgen, rechtlichen Verpflichtungen und zur Erfüllung von Aufgaben im öffentlichen Interesse.</w:t>
      </w:r>
    </w:p>
    <w:p>
      <w:r>
        <w:rPr>
          <w:color w:val="555555"/>
          <w:sz w:val="17"/>
        </w:rPr>
        <w:t xml:space="preserve">Zitiervorschlag: § 1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