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MessEV — (zu § 2 Satz 2) Ausnahmen vom Anwendungsbereich für einzelne Messgeräte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2014, 2033 - 2034; bzgl. der einzelnen Änderungen vgl. Fußnote)</w:t>
      </w:r>
    </w:p>
    <w:p>
      <w:r>
        <w:t xml:space="preserve">Die nachfolgend genannten Messgeräte sind vom Anwendungsbereich des Mess- und Eichgesetzes und dieser Verordnung ausgenommen:</w:t>
      </w:r>
    </w:p>
    <w:p>
      <w:pPr>
        <w:ind w:left="420"/>
      </w:pPr>
      <w:r>
        <w:t xml:space="preserve">1. Aus der Gruppe der Messgeräte zur Bestimmung der Länge oder Kombinationen von Längen zur Längen- oder Flächenbestimmung:</w:t>
      </w:r>
    </w:p>
    <w:p>
      <w:pPr>
        <w:ind w:left="780"/>
      </w:pPr>
      <w:r>
        <w:t xml:space="preserve">a) verkörperte Längenmaße mit einer Länge von 2 Metern oder weniger,</w:t>
      </w:r>
    </w:p>
    <w:p>
      <w:pPr>
        <w:ind w:left="780"/>
      </w:pPr>
      <w:r>
        <w:t xml:space="preserve">b) Längenmessgeräte</w:t>
      </w:r>
    </w:p>
    <w:p>
      <w:pPr>
        <w:ind w:left="1140"/>
      </w:pPr>
      <w:r>
        <w:t xml:space="preserve">aa) zur Messung von</w:t>
      </w:r>
    </w:p>
    <w:p>
      <w:pPr>
        <w:ind w:left="1500"/>
      </w:pPr>
      <w:r>
        <w:t xml:space="preserve">aaa) Folien mit einer Dicke von 0,5 Millimetern oder weniger,</w:t>
      </w:r>
    </w:p>
    <w:p>
      <w:pPr>
        <w:ind w:left="1500"/>
      </w:pPr>
      <w:r>
        <w:t xml:space="preserve">bbb) Kunststoffschnüren mit einem Durchmesser von 1 Millimeter oder weniger,</w:t>
      </w:r>
    </w:p>
    <w:p>
      <w:pPr>
        <w:ind w:left="1500"/>
      </w:pPr>
      <w:r>
        <w:t xml:space="preserve">ccc) Bändern jeder Art, Litzen, Drahtgeflechten, Drahtgeweben, Dachpappen und Dämmstoffen,</w:t>
      </w:r>
    </w:p>
    <w:p>
      <w:pPr>
        <w:ind w:left="1140"/>
      </w:pPr>
      <w:r>
        <w:t xml:space="preserve">bb) ausgeführt als</w:t>
      </w:r>
    </w:p>
    <w:p>
      <w:pPr>
        <w:ind w:left="1500"/>
      </w:pPr>
      <w:r>
        <w:t xml:space="preserve">aaa) Fadenzähler, Messschieber, soweit sie nicht zur Vermessung von Holz verwendet werden, Messschrauben, Messuhren,</w:t>
      </w:r>
    </w:p>
    <w:p>
      <w:pPr>
        <w:ind w:left="1500"/>
      </w:pPr>
      <w:r>
        <w:t xml:space="preserve">bbb) Meterzähler oder Wickelautomaten mit eingebautem Lagenzähler für die Messung von Garnen bei Verkaufseinheiten von 10 000 Metern oder weniger,</w:t>
      </w:r>
    </w:p>
    <w:p>
      <w:pPr>
        <w:ind w:left="1500"/>
      </w:pPr>
      <w:r>
        <w:t xml:space="preserve">ccc) Wickellängen- oder Dickenmessgeräte für Naturdärme,</w:t>
      </w:r>
    </w:p>
    <w:p>
      <w:pPr>
        <w:ind w:left="1500"/>
      </w:pPr>
      <w:r>
        <w:t xml:space="preserve">ddd) Verbandsstoffmessmaschinen,</w:t>
      </w:r>
    </w:p>
    <w:p>
      <w:pPr>
        <w:ind w:left="780"/>
      </w:pPr>
      <w:r>
        <w:t xml:space="preserve">c) Flächenmesswerkzeuge zum Bestimmen und Ausschneiden von regelmäßig begrenzten Flächen von vorgegebener Form und vorgegebenen Abmessungen.</w:t>
      </w:r>
    </w:p>
    <w:p>
      <w:pPr>
        <w:ind w:left="420"/>
      </w:pPr>
      <w:r>
        <w:t xml:space="preserve">2. Aus der Gruppe der Messgeräte zur Bestimmung der Masse:Eiersortiermaschinen.</w:t>
      </w:r>
    </w:p>
    <w:p>
      <w:pPr>
        <w:ind w:left="420"/>
      </w:pPr>
      <w:r>
        <w:t xml:space="preserve">3. Aus der Gruppe der Messgeräte zur Bestimmung der Temperatur:Thermometer zur Messung der Rauchgastemperatur nach der Ersten Verordnung zur Durchführung des Bundes-Immissionsschutzgesetzes vom 26. Januar 2010 (BGBl. I S. 38).</w:t>
      </w:r>
    </w:p>
    <w:p>
      <w:pPr>
        <w:ind w:left="420"/>
      </w:pPr>
      <w:r>
        <w:t xml:space="preserve">4. Aus der Gruppe der Messgeräte zur Bestimmung des Drucks:keine.</w:t>
      </w:r>
    </w:p>
    <w:p>
      <w:pPr>
        <w:ind w:left="420"/>
      </w:pPr>
      <w:r>
        <w:t xml:space="preserve">5. Aus der Gruppe der Messgeräte zur Bestimmung des Volumens:</w:t>
      </w:r>
    </w:p>
    <w:p>
      <w:pPr>
        <w:ind w:left="780"/>
      </w:pPr>
      <w:r>
        <w:t xml:space="preserve">a) Maßverkörperungen in Form von Hohlmaßen</w:t>
      </w:r>
    </w:p>
    <w:p>
      <w:pPr>
        <w:ind w:left="1140"/>
      </w:pPr>
      <w:r>
        <w:t xml:space="preserve">aa) die über Messanlagen befüllt werden, die dem Mess- und Eichgesetz unterliegen, wenn gewährleistet ist, dass Teilentnahmen vor Erreichen des Bestimmungsorts nicht erfolgen können,</w:t>
      </w:r>
    </w:p>
    <w:p>
      <w:pPr>
        <w:ind w:left="1140"/>
      </w:pPr>
      <w:r>
        <w:t xml:space="preserve">bb) als Lager-, Haupt- und Zwischensammelgefäße nach dem Branntweinmonopolrecht, die vor dem 1. Juli 1973 in Gebrauch genommen und zollamtlich vermessen wurden,</w:t>
      </w:r>
    </w:p>
    <w:p>
      <w:pPr>
        <w:ind w:left="1140"/>
      </w:pPr>
      <w:r>
        <w:t xml:space="preserve">cc) zur Bestimmung des Volumens von Abfall oder Bodenaushub,</w:t>
      </w:r>
    </w:p>
    <w:p>
      <w:pPr>
        <w:ind w:left="780"/>
      </w:pPr>
      <w:r>
        <w:t xml:space="preserve">b) Messgeräte für ruhende Flüssigkeiten</w:t>
      </w:r>
    </w:p>
    <w:p>
      <w:pPr>
        <w:ind w:left="1140"/>
      </w:pPr>
      <w:r>
        <w:t xml:space="preserve">aa) für Bitumen,</w:t>
      </w:r>
    </w:p>
    <w:p>
      <w:pPr>
        <w:ind w:left="1140"/>
      </w:pPr>
      <w:r>
        <w:t xml:space="preserve">bb) zur ordnungsgemäßen Kennzeichnung von Gasölen nach § 2 Absatz 1 der Energiesteuerdurchführungsverordnung in der jeweils geltenden Fassung,</w:t>
      </w:r>
    </w:p>
    <w:p>
      <w:pPr>
        <w:ind w:left="780"/>
      </w:pPr>
      <w:r>
        <w:t xml:space="preserve">c) Messgeräte für strömende Flüssigkeiten</w:t>
      </w:r>
    </w:p>
    <w:p>
      <w:pPr>
        <w:ind w:left="1140"/>
      </w:pPr>
      <w:r>
        <w:t xml:space="preserve">aa) für Abwasser, Brauchwasser, Flusswasser oder Löschwasser,</w:t>
      </w:r>
    </w:p>
    <w:p>
      <w:pPr>
        <w:ind w:left="1140"/>
      </w:pPr>
      <w:r>
        <w:t xml:space="preserve">bb) zur Füllung von Ausschankmaßen,</w:t>
      </w:r>
    </w:p>
    <w:p>
      <w:pPr>
        <w:ind w:left="1140"/>
      </w:pPr>
      <w:r>
        <w:t xml:space="preserve">cc) zur ordnungsgemäßen Kennzeichnung von Gasölen nach § 2 Absatz 1 der Energiesteuerdurchführungsverordnung in der jeweils geltenden Fassung,</w:t>
      </w:r>
    </w:p>
    <w:p>
      <w:pPr>
        <w:ind w:left="1140"/>
      </w:pPr>
      <w:r>
        <w:t xml:space="preserve">dd) für Bitumen,</w:t>
      </w:r>
    </w:p>
    <w:p>
      <w:pPr>
        <w:ind w:left="1140"/>
      </w:pPr>
      <w:r>
        <w:t xml:space="preserve">ee) bis zum Ablauf des 31. Dezember 2022 für Milch bei der direkten Abgabe durch den Erzeuger über Milchabgabeautomaten, die vor dem 31. Dezember 2017 rechtmäßig in Betrieb genommen worden sind,</w:t>
      </w:r>
    </w:p>
    <w:p>
      <w:pPr>
        <w:ind w:left="780"/>
      </w:pPr>
      <w:r>
        <w:t xml:space="preserve">d) Gaszähler für Wasserdampf.</w:t>
      </w:r>
    </w:p>
    <w:p>
      <w:pPr>
        <w:ind w:left="420"/>
      </w:pPr>
      <w:r>
        <w:t xml:space="preserve">6. Aus der Gruppe der Messgeräte zur Bestimmung von Messgrößen bei der Lieferung von Elektrizität:</w:t>
      </w:r>
    </w:p>
    <w:p>
      <w:pPr>
        <w:ind w:left="780"/>
      </w:pPr>
      <w:r>
        <w:t xml:space="preserve">a) Elektrizitätszähler</w:t>
      </w:r>
    </w:p>
    <w:p>
      <w:pPr>
        <w:ind w:left="1140"/>
      </w:pPr>
      <w:r>
        <w:t xml:space="preserve">aa) in konventionellen Eisenbahnfahrzeugen sowie in Gleichstrombahnen und in Hochgeschwindigkeitsfahrzeugen, wenn diese auf dem transeuropäischen Schienennetz und auf dem damit verknüpften Gesamtnetz verkehren,</w:t>
      </w:r>
    </w:p>
    <w:p>
      <w:pPr>
        <w:ind w:left="1140"/>
      </w:pPr>
      <w:r>
        <w:t xml:space="preserve">bb) an Einspeisepunkten in das transeuropäische Schienennetz für die Bahn-Technik,</w:t>
      </w:r>
    </w:p>
    <w:p>
      <w:pPr>
        <w:ind w:left="1140"/>
      </w:pPr>
      <w:r>
        <w:t xml:space="preserve">cc) zur Bestimmung von Transformatorenverlusten,</w:t>
      </w:r>
    </w:p>
    <w:p>
      <w:pPr>
        <w:ind w:left="1140"/>
      </w:pPr>
      <w:r>
        <w:t xml:space="preserve">dd) zur Bestimmung des Überschussblindverbrauchs, die aus Wirk- und Blindverbrauchszählern zusammengesetzt sind,</w:t>
      </w:r>
    </w:p>
    <w:p>
      <w:pPr>
        <w:ind w:left="780"/>
      </w:pPr>
      <w:r>
        <w:t xml:space="preserve">b) Messwandler für Elektrizitätszähler</w:t>
      </w:r>
    </w:p>
    <w:p>
      <w:pPr>
        <w:ind w:left="1140"/>
      </w:pPr>
      <w:r>
        <w:t xml:space="preserve">aa) in konventionellen Eisenbahnfahrzeugen sowie in Gleichstrombahnen und in Hochgeschwindigkeitsfahrzeugen, wenn diese auf dem transeuropäischen Schienennetz und auf dem damit verknüpften Gesamtnetz verkehren,</w:t>
      </w:r>
    </w:p>
    <w:p>
      <w:pPr>
        <w:ind w:left="1140"/>
      </w:pPr>
      <w:r>
        <w:t xml:space="preserve">bb) an Einspeisepunkten in das transeuropäische Schienennetz für die Bahn-Technik.</w:t>
      </w:r>
    </w:p>
    <w:p>
      <w:pPr>
        <w:ind w:left="420"/>
      </w:pPr>
      <w:r>
        <w:t xml:space="preserve">7. Aus der Gruppe der Messgeräte zur Bestimmung der Wärmemenge (Wärme und Kälte in Kreislaufsystemen):keine.</w:t>
      </w:r>
    </w:p>
    <w:p>
      <w:pPr>
        <w:ind w:left="420"/>
      </w:pPr>
      <w:r>
        <w:t xml:space="preserve">8. Aus der Gruppe der Messgeräte zur Bestimmung von Dichte oder Massenanteil oder Massenkonzentration oder Volumenkonzentration von Flüssigkeiten:</w:t>
      </w:r>
    </w:p>
    <w:p>
      <w:pPr>
        <w:ind w:left="780"/>
      </w:pPr>
      <w:r>
        <w:t xml:space="preserve">a) Messgeräte zur Schnellbestimmung des Fettgehalts von Milch und Milcherzeugnissen nach einem optischen Verfahren, wenn die Messergebnisse mindestens zweimal täglich mit einem Messgerät für milchwirtschaftliche Untersuchungen überprüft werden, das dem Mess- und Eichgesetz entspricht,</w:t>
      </w:r>
    </w:p>
    <w:p>
      <w:pPr>
        <w:ind w:left="780"/>
      </w:pPr>
      <w:r>
        <w:t xml:space="preserve">b) Messgeräte zur Bestimmung des Zuckergehalts in wässrigen Lösungen durch Lichtbrechung in flüssigen Medien (Refraktometer).</w:t>
      </w:r>
    </w:p>
    <w:p>
      <w:pPr>
        <w:ind w:left="420"/>
      </w:pPr>
      <w:r>
        <w:t xml:space="preserve">9. Aus der Gruppe der Messgeräte zur Bestimmung von Dichte oder Massenanteil oder Massenkonzentration oder Volumenkonzentration bei anderen Medien als Flüssigkeiten:Messgeräte zur Schnellbestimmung des Fettgehalts von Milcherzeugnissen nach einem optischen Verfahren, wenn die Messergebnisse mindestens zweimal täglich mit einem Messgerät für milchwirtschaftliche Untersuchungen überprüft werden, das dem Mess- und Eichgesetz entspricht.</w:t>
      </w:r>
    </w:p>
    <w:p>
      <w:pPr>
        <w:ind w:left="420"/>
      </w:pPr>
      <w:r>
        <w:t xml:space="preserve">10. Aus der Gruppe der Messgeräte zur Bestimmung von sonstigen Messgrößen bei der Lieferung von strömenden Flüssigkeiten oder strömenden Gasen:keine.</w:t>
      </w:r>
    </w:p>
    <w:p>
      <w:pPr>
        <w:ind w:left="420"/>
      </w:pPr>
      <w:r>
        <w:t xml:space="preserve">11. Aus der Gruppe der Messgeräte zur Bestimmung des Schalldruckpegels und daraus abgeleiteter Größen:keine.</w:t>
      </w:r>
    </w:p>
    <w:p>
      <w:pPr>
        <w:ind w:left="420"/>
      </w:pPr>
      <w:r>
        <w:t xml:space="preserve">12. Aus der Gruppe der Messgeräte im öffentlichen Verkehr:</w:t>
      </w:r>
    </w:p>
    <w:p>
      <w:pPr>
        <w:ind w:left="780"/>
      </w:pPr>
      <w:r>
        <w:t xml:space="preserve">a) mechanische Reifenprofilmessgeräte,</w:t>
      </w:r>
    </w:p>
    <w:p>
      <w:pPr>
        <w:ind w:left="780"/>
      </w:pPr>
      <w:r>
        <w:t xml:space="preserve">b) Bremsverzögerungsmessgeräte,</w:t>
      </w:r>
    </w:p>
    <w:p>
      <w:pPr>
        <w:ind w:left="780"/>
      </w:pPr>
      <w:r>
        <w:t xml:space="preserve">c) Bremsprüfstände,</w:t>
      </w:r>
    </w:p>
    <w:p>
      <w:pPr>
        <w:ind w:left="780"/>
      </w:pPr>
      <w:r>
        <w:t xml:space="preserve">d) Messgeräte zur Prüfung der Einstellung von Scheinwerfern an Fahrzeugen,</w:t>
      </w:r>
    </w:p>
    <w:p>
      <w:pPr>
        <w:ind w:left="780"/>
      </w:pPr>
      <w:r>
        <w:t xml:space="preserve">e) Messgeräte zur Überwachung von Wasserfahrzeugen, wenn diese nicht die Geschwindigkeit betreffen, sowie von Luft- und Schienenfahrzeugen,</w:t>
      </w:r>
    </w:p>
    <w:p>
      <w:pPr>
        <w:ind w:left="780"/>
      </w:pPr>
      <w:r>
        <w:t xml:space="preserve">f) Messgeräte zur Durchführung von Prüfungen von Fahrtschreibern und Kontrollgeräten im Sinne der Anlage XVIIIb der Straßenverkehrszulassungsordnung vom 26. April 2012 (BGBl. I S. 679), die zuletzt durch Artikel 8 der Verordnung vom 5. November 2013 (BGBl. I S. 3920) geändert worden ist, in der jeweils geltenden Fassung, sofern dort nicht etwas anderes bestimmt ist,</w:t>
      </w:r>
    </w:p>
    <w:p>
      <w:pPr>
        <w:ind w:left="780"/>
      </w:pPr>
      <w:r>
        <w:t xml:space="preserve">g) Parkuhren und Parkscheinautomaten,</w:t>
      </w:r>
    </w:p>
    <w:p>
      <w:pPr>
        <w:ind w:left="780"/>
      </w:pPr>
      <w:r>
        <w:t xml:space="preserve">h) Wegstreckenzähler in Mietkraftfahrzeugen, die bestimmt sind</w:t>
      </w:r>
    </w:p>
    <w:p>
      <w:pPr>
        <w:ind w:left="1140"/>
      </w:pPr>
      <w:r>
        <w:t xml:space="preserve">aa) für Selbstfahrer,</w:t>
      </w:r>
    </w:p>
    <w:p>
      <w:pPr>
        <w:ind w:left="1140"/>
      </w:pPr>
      <w:r>
        <w:t xml:space="preserve">bb) als Mietomnibusse im Sinne des § 49 Absatz 1 des Personenbeförderungsgesetzes in der Fassung der Bekanntmachung vom 8. August 1990 (BGBl. I S. 1690), das durch Artikel 2 Absatz 147 des Gesetzes vom 7. August 2013 (BGBl. I S. 3154) geändert worden ist, in der jeweils geltenden Fassung,</w:t>
      </w:r>
    </w:p>
    <w:p>
      <w:pPr>
        <w:ind w:left="1140"/>
      </w:pPr>
      <w:r>
        <w:t xml:space="preserve">cc) für Beförderungen, die vom Personenbeförderungsgesetz freigestellt sind nach der Freistellungs-Verordnung in der im Bundesgesetzblatt Teil III, Gliederungsnummer 9240-1-1, veröffentlichten bereinigten Fassung, die zuletzt durch Artikel 1 der Verordnung vom 4. Mai 2012 (BGBl. I S. 1037) geändert worden ist, in der jeweils geltenden Fassung,</w:t>
      </w:r>
    </w:p>
    <w:p>
      <w:pPr>
        <w:ind w:left="1140"/>
      </w:pPr>
      <w:r>
        <w:t xml:space="preserve">dd) als Fahrzeuge des Güterkraftverkehrs.</w:t>
      </w:r>
    </w:p>
    <w:p>
      <w:pPr>
        <w:ind w:left="420"/>
      </w:pPr>
      <w:r>
        <w:t xml:space="preserve">13. Aus der Gruppe der Messgeräte zur Bestimmung der Dosis ionisierender Strahlungkeine.</w:t>
      </w:r>
    </w:p>
    <w:p>
      <w:r>
        <w:rPr>
          <w:color w:val="555555"/>
          <w:sz w:val="17"/>
        </w:rPr>
        <w:t xml:space="preserve">Zitiervorschlag: Anlage 1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