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MessEV — Allgemeine wesentliche Anforderungen und Feststellung der Einhaltung von Fehlergrenzen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Messgeräte müssen</w:t>
      </w:r>
    </w:p>
    <w:p>
      <w:pPr>
        <w:ind w:left="420"/>
      </w:pPr>
      <w:r>
        <w:t xml:space="preserve">1. unter Berücksichtigung der für ihre Verwendung vorgesehenen Umgebungsbedingungen die Fehlergrenzen einhalten, die in den gerätespezifischen Anforderungen nach § 8 festgelegt sind; sind Fehlergrenzen nicht ausdrücklich bestimmt, müssen Messgeräte eine Fehlergrenze einhalten, die dem Stand der Technik unter Berücksichtigung der vorgesehenen Nutzungsdauer und der zu erfüllenden Messaufgabe entspricht,</w:t>
      </w:r>
    </w:p>
    <w:p>
      <w:pPr>
        <w:ind w:left="420"/>
      </w:pPr>
      <w:r>
        <w:t xml:space="preserve">2. im Hinblick auf den vorgesehenen Verwendungszweck geeignet, zuverlässig und messbeständig sein,</w:t>
      </w:r>
    </w:p>
    <w:p>
      <w:pPr>
        <w:ind w:left="420"/>
      </w:pPr>
      <w:r>
        <w:t xml:space="preserve">3. gegen Verfälschungen von Messergebnissen geschützt sein,</w:t>
      </w:r>
    </w:p>
    <w:p>
      <w:pPr>
        <w:ind w:left="420"/>
      </w:pPr>
      <w:r>
        <w:t xml:space="preserve">4. die Messergebnisse in geeigneter Form darstellen und gegen Verfälschung gesichert verarbeiten,</w:t>
      </w:r>
    </w:p>
    <w:p>
      <w:pPr>
        <w:ind w:left="420"/>
      </w:pPr>
      <w:r>
        <w:t xml:space="preserve">5. prüfbar sein.</w:t>
      </w:r>
    </w:p>
    <w:p>
      <w:r>
        <w:t xml:space="preserve">Die Fehlergrenzen sind, sofern nicht anders bestimmt, für jede relevante Einflussgröße zu überprüfen. Einzelheiten zu Umgebungsbedingungen, die Anforderungen von Satz 1 und das Verfahren nach Satz 2 sind in der Anlage 2 festgelegt.</w:t>
      </w:r>
    </w:p>
    <w:p>
      <w:r>
        <w:t xml:space="preserve">(2) Absatz 1 ist nicht anzuwenden für nichtselbsttätige Waagen.</w:t>
      </w:r>
    </w:p>
    <w:p>
      <w:r>
        <w:t xml:space="preserve">(3) Teilgeräte und Zusatzeinrichtungen haben den Anforderungen nach Absatz 1 zu genügen, die für ihre Funktionalität maßgeblich sind.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7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