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MessEV — Ordnungswidrigkeiten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Ordnungswidrig im Sinne des § 60 Absatz 1 Nummer 26 des Mess- und Eichgesetzes handelt, wer vorsätzlich oder fahrlässig</w:t>
      </w:r>
    </w:p>
    <w:p>
      <w:pPr>
        <w:ind w:left="420"/>
      </w:pPr>
      <w:r>
        <w:t xml:space="preserve">1. entgegen § 23 Absatz 2 eine Verkehrsfehlergrenze ausnutzt,</w:t>
      </w:r>
    </w:p>
    <w:p>
      <w:pPr>
        <w:ind w:left="420"/>
      </w:pPr>
      <w:r>
        <w:t xml:space="preserve">2. entgegen § 27 ein Ausschankmaß verwendet,</w:t>
      </w:r>
    </w:p>
    <w:p>
      <w:pPr>
        <w:ind w:left="420"/>
      </w:pPr>
      <w:r>
        <w:t xml:space="preserve">3. entgegen § 40 Absatz 4 die Software eines Messgeräts aktualisiert,</w:t>
      </w:r>
    </w:p>
    <w:p>
      <w:pPr>
        <w:ind w:left="420"/>
      </w:pPr>
      <w:r>
        <w:t xml:space="preserve">4. entgegen § 55 Absatz 1 Satz 1 Nummer 1 oder Nummer 2 Satzteil vor dem zweiten Halbsatz ein Messgerät nicht, nicht richtig oder nicht rechtzeitig kenntlich macht,</w:t>
      </w:r>
    </w:p>
    <w:p>
      <w:pPr>
        <w:ind w:left="420"/>
      </w:pPr>
      <w:r>
        <w:t xml:space="preserve">5. entgegen § 55 Absatz 1 Satz 2 eine Angabe nicht, nicht richtig oder nicht rechtzeitig einträgt,</w:t>
      </w:r>
    </w:p>
    <w:p>
      <w:pPr>
        <w:ind w:left="420"/>
      </w:pPr>
      <w:r>
        <w:t xml:space="preserve">6. entgegen § 55 Absatz 2 Satz 1 ein Zusatzzeichen nicht oder nicht rechtzeitig entwertet,</w:t>
      </w:r>
    </w:p>
    <w:p>
      <w:pPr>
        <w:ind w:left="420"/>
      </w:pPr>
      <w:r>
        <w:t xml:space="preserve">7. entgegen § 55 Absatz 2 Satz 2 ein Sicherungszeichen nicht, nicht richtig oder nicht rechtzeitig ersetzt,</w:t>
      </w:r>
    </w:p>
    <w:p>
      <w:pPr>
        <w:ind w:left="420"/>
      </w:pPr>
      <w:r>
        <w:t xml:space="preserve">8. entgegen § 55 Absatz 3 erster Halbsatz eine Information nicht, nicht richtig oder nicht rechtzeitig gibt,</w:t>
      </w:r>
    </w:p>
    <w:p>
      <w:pPr>
        <w:ind w:left="420"/>
      </w:pPr>
      <w:r>
        <w:t xml:space="preserve">9. entgegen § 55 Absatz 4 eine Mitteilung nicht, nicht richtig oder nicht rechtzeitig macht oder</w:t>
      </w:r>
    </w:p>
    <w:p>
      <w:pPr>
        <w:ind w:left="420"/>
      </w:pPr>
      <w:r>
        <w:t xml:space="preserve">10. entgegen § 55 Absatz 5 ein Instandsetzerkennzeichen nicht oder nicht rechtzeitig übergibt.</w:t>
      </w:r>
    </w:p>
    <w:p>
      <w:r>
        <w:rPr>
          <w:color w:val="555555"/>
          <w:sz w:val="17"/>
        </w:rPr>
        <w:t xml:space="preserve">Zitiervorschlag: § 57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