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MessEV — Meldeverfahren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Meldungen im Sinne des § 53 Absatz 2 des Mess- und Eichgesetzes an die Europäische Kommission und an die übrigen Mitgliedstaaten der Europäischen Union haben die Marktüberwachungsbehörden das Informationssystem nach Artikel 23 Absatz 1 der Verordnung (EG) Nr. 765/2008 zu verwenden, soweit europäische Vorschriften keinen anderen Informationsweg vorsehen.</w:t>
      </w:r>
    </w:p>
    <w:p>
      <w:r>
        <w:t xml:space="preserve">(2) Die Marktüberwachungsbehörden informieren die Physikalisch-Technische Bundesanstalt über Meldungen im Sinne des § 53 Absatz 2 des Mess- und Eichgesetzes.</w:t>
      </w:r>
    </w:p>
    <w:p>
      <w:r>
        <w:rPr>
          <w:color w:val="555555"/>
          <w:sz w:val="17"/>
        </w:rPr>
        <w:t xml:space="preserve">Zitiervorschlag: § 56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