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55 MessEV — Pflichten der Instandsetzer</w:t>
      </w:r>
    </w:p>
    <w:p>
      <w:r>
        <w:rPr>
          <w:color w:val="555555"/>
          <w:sz w:val="18"/>
        </w:rPr>
        <w:t xml:space="preserve">Mess- und Eichverordnung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Instandsetzer hat die instand gesetzten Messgeräte mit dem Instandsetzerkennzeichen kenntlich zu machen, wenn</w:t>
      </w:r>
    </w:p>
    <w:p>
      <w:pPr>
        <w:ind w:left="420"/>
      </w:pPr>
      <w:r>
        <w:t xml:space="preserve">1. alle Voraussetzungen des § 37 Absatz 5 Nummer 1, 2 und 4 des Mess- und Eichgesetzes erfüllt sind und</w:t>
      </w:r>
    </w:p>
    <w:p>
      <w:pPr>
        <w:ind w:left="420"/>
      </w:pPr>
      <w:r>
        <w:t xml:space="preserve">2. die Instandsetzung von einer Person seines Betriebs durchgeführt wurde, die über die hierfür erforderliche nachgewiesene Sachkunde verfügt; der Instandsetzer hat eine Übersicht der Personen seines Betriebs zu führen, die über die erforderliche nachgewiesene Sachkunde verfügen.</w:t>
      </w:r>
    </w:p>
    <w:p>
      <w:r>
        <w:t xml:space="preserve">Im unteren Feld des Instandsetzerkennzeichens sind beim Anbringen des Instandsetzerkennzeichens das Datum seiner Anbringung und das Namenskürzel der Person einzutragen, die das Gerät instand gesetzt hat.</w:t>
      </w:r>
    </w:p>
    <w:p>
      <w:r>
        <w:t xml:space="preserve">(2) Der Instandsetzer hat Zusatzzeichen am Messgerät im Sinne der Anlage 8 Nummer 1.3 nach der Instandsetzung zu entwerten. Entfernte Sicherungszeichen hat der Instandsetzer durch das Sicherungszeichen im Sinne der Anlage 8 Nummer 3.2 zu ersetzen, bevor er das Instandsetzerkennzeichen anbringt.</w:t>
      </w:r>
    </w:p>
    <w:p>
      <w:r>
        <w:t xml:space="preserve">(3) Der Instandsetzer hat die zuständige Behörde unverzüglich über eine durchgeführte Instandsetzung schriftlich oder elektronisch zu informieren; dabei hat er das Messgerät näher zu bezeichnen und den Standort des Messgeräts anzugeben.</w:t>
      </w:r>
    </w:p>
    <w:p>
      <w:r>
        <w:t xml:space="preserve">(4) Der Instandsetzer hat der zuständigen Behörde Folgendes unverzüglich mitzuteilen:</w:t>
      </w:r>
    </w:p>
    <w:p>
      <w:pPr>
        <w:ind w:left="420"/>
      </w:pPr>
      <w:r>
        <w:t xml:space="preserve">1. die Verlagerung seines Firmensitzes,</w:t>
      </w:r>
    </w:p>
    <w:p>
      <w:pPr>
        <w:ind w:left="420"/>
      </w:pPr>
      <w:r>
        <w:t xml:space="preserve">2. den Wegfall der Genehmigungsvoraussetzungen nach § 54 Absatz 1 Satz 2 und</w:t>
      </w:r>
    </w:p>
    <w:p>
      <w:pPr>
        <w:ind w:left="420"/>
      </w:pPr>
      <w:r>
        <w:t xml:space="preserve">3. die Einstellung seiner Tätigkeit.</w:t>
      </w:r>
    </w:p>
    <w:p>
      <w:r>
        <w:t xml:space="preserve">(5) Im Fall der Einstellung seiner Tätigkeit hat der Instandsetzer der Behörde unverzüglich sämtliche Instandsetzerkennzeichen zu übergeben.</w:t>
      </w:r>
    </w:p>
    <w:p>
      <w:r>
        <w:rPr>
          <w:color w:val="555555"/>
          <w:sz w:val="17"/>
        </w:rPr>
        <w:t xml:space="preserve">Zitiervorschlag: § 55 MessEV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https://recht.nulegal.eu/gesetze/MessEV/55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