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MessEV — Verantwortung der Prüfstellenleitung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Leitung der staatlich anerkannten Prüfstelle oder bei ihrer Abwesenheit die stellvertretende Leitung ist insbesondere dafür verantwortlich, dass</w:t>
      </w:r>
    </w:p>
    <w:p>
      <w:pPr>
        <w:ind w:left="420"/>
      </w:pPr>
      <w:r>
        <w:t xml:space="preserve">1. nur Messgeräte geeicht werden, die dem Mess- und Eichgesetz und dieser Verordnung entsprechen,</w:t>
      </w:r>
    </w:p>
    <w:p>
      <w:pPr>
        <w:ind w:left="420"/>
      </w:pPr>
      <w:r>
        <w:t xml:space="preserve">2. die Prüfungen ordnungsgemäß vorgenommen und dabei Auflagen, Bedingungen und inhaltliche Beschränkungen der staatlichen Anerkennung beachtet werden,</w:t>
      </w:r>
    </w:p>
    <w:p>
      <w:pPr>
        <w:ind w:left="420"/>
      </w:pPr>
      <w:r>
        <w:t xml:space="preserve">3. Prüfungen, die keine Eichungen oder Befundprüfungen sind, nicht als von einer staatlich anerkannten Prüfstelle ausgeführt bezeichnet werden und hierbei keine auf die Prüfstelle hinweisenden Prüfzeichen verwendet werden und</w:t>
      </w:r>
    </w:p>
    <w:p>
      <w:pPr>
        <w:ind w:left="420"/>
      </w:pPr>
      <w:r>
        <w:t xml:space="preserve">4. Eichkennzeichen und Sicherungszeichen gegen missbräuchliche Verwendung ausreichend gesichert sind.</w:t>
      </w:r>
    </w:p>
    <w:p>
      <w:r>
        <w:t xml:space="preserve">(2) Sind sowohl die Leitung als auch die stellvertretende Leitung der staatlich anerkannten Prüfstelle verhindert, dürfen keine Eichungen vorgenommen werden.</w:t>
      </w:r>
    </w:p>
    <w:p>
      <w:r>
        <w:rPr>
          <w:color w:val="555555"/>
          <w:sz w:val="17"/>
        </w:rPr>
        <w:t xml:space="preserve">Zitiervorschlag: § 53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