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MessEV — Sachkunde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erforderliche Sachkunde ist gegeben, wenn die antragstellende Person</w:t>
      </w:r>
    </w:p>
    <w:p>
      <w:pPr>
        <w:ind w:left="420"/>
      </w:pPr>
      <w:r>
        <w:t xml:space="preserve">1. die Anforderungen des § 43 Absatz 4 erfüllt,</w:t>
      </w:r>
    </w:p>
    <w:p>
      <w:pPr>
        <w:ind w:left="420"/>
      </w:pPr>
      <w:r>
        <w:t xml:space="preserve">2. mindestens ein Jahr bei einer entsprechenden Prüfstelle tätig war oder über vergleichbare Berufserfahrungen verfügt und</w:t>
      </w:r>
    </w:p>
    <w:p>
      <w:pPr>
        <w:ind w:left="420"/>
      </w:pPr>
      <w:r>
        <w:t xml:space="preserve">3. durch eine Prüfung an der Deutschen Akademie für Metrologie die erforderlichen Kenntnisse des gesetzlichen Messwesens nachgewiesen hat.</w:t>
      </w:r>
    </w:p>
    <w:p>
      <w:r>
        <w:rPr>
          <w:color w:val="555555"/>
          <w:sz w:val="17"/>
        </w:rPr>
        <w:t xml:space="preserve">Zitiervorschlag: § 47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