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MessEV — Haftpflichtversicherung der Prüfstelle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Haftpflichtversicherung, die die Prüfstelle nach § 40 Absatz 3 Satz 2 des Mess- und Eichgesetzes abzuschließen hat, ist zur Deckung folgender Schäden bestimmt:</w:t>
      </w:r>
    </w:p>
    <w:p>
      <w:pPr>
        <w:ind w:left="420"/>
      </w:pPr>
      <w:r>
        <w:t xml:space="preserve">1. Personen-, Sach- oder Vermögensschäden, die sich aus der öffentlich-rechtlichen Tätigkeit der Prüfstelle ergeben und</w:t>
      </w:r>
    </w:p>
    <w:p>
      <w:pPr>
        <w:ind w:left="420"/>
      </w:pPr>
      <w:r>
        <w:t xml:space="preserve">2. Schäden, für die die Prüfstelle nach § 278 oder § 831 des Bürgerlichen Gesetzbuchs einzustehen hat.</w:t>
      </w:r>
    </w:p>
    <w:p>
      <w:r>
        <w:t xml:space="preserve">(2) Die Haftpflichtversicherung muss bei einem im Inland zum Geschäftsbetrieb befugten Versicherungsunternehmen genommen werden und für die gesamte Dauer der Anerkennung der Prüfstelle bestehen.</w:t>
      </w:r>
    </w:p>
    <w:p>
      <w:r>
        <w:t xml:space="preserve">(3) Das Versicherungsunternehmen kann die Haftung nur für die folgenden Ersatzansprüche ausschließen:</w:t>
      </w:r>
    </w:p>
    <w:p>
      <w:pPr>
        <w:ind w:left="420"/>
      </w:pPr>
      <w:r>
        <w:t xml:space="preserve">1. Ersatzansprüche wegen vorsätzlicher Pflichtverletzung des Versicherungsnehmers oder</w:t>
      </w:r>
    </w:p>
    <w:p>
      <w:pPr>
        <w:ind w:left="420"/>
      </w:pPr>
      <w:r>
        <w:t xml:space="preserve">2. Ersatzansprüche wegen Vermögensschäden durch die Nichteinhaltung vertraglich vereinbarter Fristen.</w:t>
      </w:r>
    </w:p>
    <w:p>
      <w:r>
        <w:t xml:space="preserve">(4) Die Mindestversicherungssumme beträgt für jeden Versicherungsfall 250 000 Euro.</w:t>
      </w:r>
    </w:p>
    <w:p>
      <w:r>
        <w:t xml:space="preserve">(5) Es kann ein Selbstbehalt bis zu 1 Prozent der Mindestversicherungssumme vereinbart werden.</w:t>
      </w:r>
    </w:p>
    <w:p>
      <w:r>
        <w:rPr>
          <w:color w:val="555555"/>
          <w:sz w:val="17"/>
        </w:rPr>
        <w:t xml:space="preserve">Zitiervorschlag: § 44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