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MessEV — Antrag und Anerkennung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Prüfstellen können staatlich anerkannt werden für</w:t>
      </w:r>
    </w:p>
    <w:p>
      <w:pPr>
        <w:ind w:left="420"/>
      </w:pPr>
      <w:r>
        <w:t xml:space="preserve">1. die Eichung von Messgeräten für Elektrizität, Gas, Wasser oder Wärme im Sinne des § 40 Absatz 3 des Mess- und Eichgesetzes,</w:t>
      </w:r>
    </w:p>
    <w:p>
      <w:pPr>
        <w:ind w:left="420"/>
      </w:pPr>
      <w:r>
        <w:t xml:space="preserve">2. die Befundprüfung der in Nummer 1 bezeichneten Messgeräte im Sinne des § 39 Absatz 2 des Mess- und Eichgesetzes und</w:t>
      </w:r>
    </w:p>
    <w:p>
      <w:pPr>
        <w:ind w:left="420"/>
      </w:pPr>
      <w:r>
        <w:t xml:space="preserve">3. die EG-Ersteichung von Messgeräten.</w:t>
      </w:r>
    </w:p>
    <w:p>
      <w:r>
        <w:t xml:space="preserve">(2) Dem Antrag sind die für die Beurteilung der Anerkennungsvoraussetzungen erforderlichen Angaben und Unterlagen beizufügen.</w:t>
      </w:r>
    </w:p>
    <w:p>
      <w:r>
        <w:t xml:space="preserve">(3) Die Prüfstelle kann von der nach Landesrecht zuständigen Behörde anerkannt werden, wenn</w:t>
      </w:r>
    </w:p>
    <w:p>
      <w:pPr>
        <w:ind w:left="420"/>
      </w:pPr>
      <w:r>
        <w:t xml:space="preserve">1. die Prüfstelle die Voraussetzungen nach den §§ 43 und 44 erfüllt und</w:t>
      </w:r>
    </w:p>
    <w:p>
      <w:pPr>
        <w:ind w:left="420"/>
      </w:pPr>
      <w:r>
        <w:t xml:space="preserve">2. die Leitung und die stellvertretende Leitung der Prüfstelle nach § 48 öffentlich bestellt sind.</w:t>
      </w:r>
    </w:p>
    <w:p>
      <w:r>
        <w:t xml:space="preserve">Sind Leitung und stellvertretende Leitung der Prüfstelle noch nicht öffentlich bestellt, darf eine Anerkennung der Prüfstelle nur unter der aufschiebenden Bedingung der öffentlichen Bestellung dieser Personen erteilt werden.</w:t>
      </w:r>
    </w:p>
    <w:p>
      <w:r>
        <w:t xml:space="preserve">(4) Die Anerkennung bedarf der Schriftform. In der Anerkennung sind zu benennen:</w:t>
      </w:r>
    </w:p>
    <w:p>
      <w:pPr>
        <w:ind w:left="420"/>
      </w:pPr>
      <w:r>
        <w:t xml:space="preserve">1. die Messgerätearten, für die die Prüfstelle tätig werden darf, und</w:t>
      </w:r>
    </w:p>
    <w:p>
      <w:pPr>
        <w:ind w:left="420"/>
      </w:pPr>
      <w:r>
        <w:t xml:space="preserve">2. die Messbereiche, innerhalb derer Eichungen und Befundprüfungen vorgenommen werden dürfen.</w:t>
      </w:r>
    </w:p>
    <w:p>
      <w:r>
        <w:rPr>
          <w:color w:val="555555"/>
          <w:sz w:val="17"/>
        </w:rPr>
        <w:t xml:space="preserve">Zitiervorschlag: § 42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