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MessEV — Vom Anwendungsbereich ausgenommene Zusatzeinrichtungen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18.11.2021 (konsolidierte Textfassung, kein amtliches Inkrafttretensdatum)</w:t>
      </w:r>
    </w:p>
    <w:p>
      <w:r>
        <w:t xml:space="preserve">Das Mess- und Eichgesetz und diese Verordnung sind nicht anzuwenden auf folgende Zusatzeinrichtungen, die über rückwirkungsfreie Schnittstellen an Messgeräte angeschlossen werden:</w:t>
      </w:r>
    </w:p>
    <w:p>
      <w:pPr>
        <w:ind w:left="420"/>
      </w:pPr>
      <w:r>
        <w:t xml:space="preserve">1. Zusatzeinrichtungen, die für Zwecke verwendet werden, für die nach dem Mess- und Eichgesetz und nach dieser Verordnung das Verwenden dem Mess- und Eichgesetz entsprechender Messgeräte nicht vorgeschrieben ist,</w:t>
      </w:r>
    </w:p>
    <w:p>
      <w:pPr>
        <w:ind w:left="420"/>
      </w:pPr>
      <w:r>
        <w:t xml:space="preserve">2. Tarifschaltuhren an Messgeräten für die Abgabe von Elektrizität, Gas, Wasser oder Wärme, deren Stand und deren eingestellte Schaltzeiten bei geschlossenem Gehäuse erkennbar sind,</w:t>
      </w:r>
    </w:p>
    <w:p>
      <w:pPr>
        <w:ind w:left="420"/>
      </w:pPr>
      <w:r>
        <w:t xml:space="preserve">3. Zeitgeber für Maximumzähler, für Rundsteueranlagen und für Belastungsmessgeräte für Versorgungsleistungen,</w:t>
      </w:r>
    </w:p>
    <w:p>
      <w:pPr>
        <w:ind w:left="420"/>
      </w:pPr>
      <w:r>
        <w:t xml:space="preserve">4. Tonfrequenzrundsteuerempfänger,</w:t>
      </w:r>
    </w:p>
    <w:p>
      <w:pPr>
        <w:ind w:left="420"/>
      </w:pPr>
      <w:r>
        <w:t xml:space="preserve">5. Münzwerke zur Steuerung der Abgabe von Elektrizität, Gas, Wasser oder Wärme,</w:t>
      </w:r>
    </w:p>
    <w:p>
      <w:pPr>
        <w:ind w:left="420"/>
      </w:pPr>
      <w:r>
        <w:t xml:space="preserve">6. Zusatzeinrichtungen, die im Direktverkauf zur zusätzlichen Angabe von Messwerten und Preisen verwendet werden, wenn das zugehörige Messgerät oder eine zum Messgerät gehörende andere dem Mess- und Eichgesetz und dieser Verordnung unterliegende Zusatzeinrichtung die ermittelten Messwerte und zugehörigen Grund- und Verkaufspreise unverändert abdruckt oder abspeichert und dies dem Käufer zugänglich ist,</w:t>
      </w:r>
    </w:p>
    <w:p>
      <w:pPr>
        <w:ind w:left="420"/>
      </w:pPr>
      <w:r>
        <w:t xml:space="preserve">7. Zusatzeinrichtungen an Messgeräten, die bei der Herstellung und Analyse von Arzneimitteln verwendet werden,</w:t>
      </w:r>
    </w:p>
    <w:p>
      <w:pPr>
        <w:ind w:left="420"/>
      </w:pPr>
      <w:r>
        <w:t xml:space="preserve">8. Quittungsdrucker für Taxameter und Wegstreckenzähler.</w:t>
      </w:r>
    </w:p>
    <w:p>
      <w:r>
        <w:t xml:space="preserve">Satz 1 Nummer 7 ist nicht für Zusatzeinrichtungen an nicht selbsttätigen Waagen anzuwenden.</w:t>
      </w:r>
    </w:p>
    <w:p>
      <w:r>
        <w:rPr>
          <w:color w:val="555555"/>
          <w:sz w:val="17"/>
        </w:rPr>
        <w:t xml:space="preserve">Zitiervorschlag: § 4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