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MessEV — Eichfrist</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Die Eichfrist eines Messgeräts beträgt zwei Jahre, soweit nicht etwas anderes bestimmt ist</w:t>
      </w:r>
    </w:p>
    <w:p>
      <w:pPr>
        <w:ind w:left="420"/>
      </w:pPr>
      <w:r>
        <w:t xml:space="preserve">1. in Anlage 7 oder</w:t>
      </w:r>
    </w:p>
    <w:p>
      <w:pPr>
        <w:ind w:left="420"/>
      </w:pPr>
      <w:r>
        <w:t xml:space="preserve">2. in einer bis zum Ablauf des 31. Dezember 2014 erteilten Bauartzulassung der Physikalisch-Technischen Bundesanstalt.</w:t>
      </w:r>
    </w:p>
    <w:p>
      <w:r>
        <w:t xml:space="preserve">Soweit nicht die Eichfrist nach § 37 Absatz 1 Satz 2 des Mess- und Eichgesetzes beginnt, ist für den Fristbeginn auf den Tag der Eichung abzustellen. Wird ein Messgerät nach Ablauf der Eichfrist geeicht, beginnt die neue Eichfrist mit Ablauf der vorausgegangenen Eichfrist. Wenn ein Messgerät nach Ablauf der Eichfrist nachweislich länger als ein Jahr nicht verwendet wurde, ist für den erneuten Fristbeginn auf den Tag der Eichung abzustellen.</w:t>
      </w:r>
    </w:p>
    <w:p>
      <w:r>
        <w:t xml:space="preserve">(2) Unabhängig von dem nach Absatz 1 sich ergebenden rechnerischen Ende der Eichfrist endet diese bei Eichfristen, die mindestens ein Jahr betragen, erst mit dem Ende des Jahres, in dem die Frist rechnerisch endet. Es wird vermutet, dass das Messgerät in dem Jahr in Verkehr gebracht wurde, in dem es nach § 14 gekennzeichnet wurde.</w:t>
      </w:r>
    </w:p>
    <w:p>
      <w:r>
        <w:t xml:space="preserve">(3) Unabhängig von dem nach Absatz 1 sich ergebenden rechnerischen Ende der Eichfrist endet diese bei Eichfristen, die weniger als zwölf Monate betragen, mit dem Ablauf des Kalendermonats, in dem die Frist rechnerisch endet. Es wird vermutet, dass das Messgerät zum Ende des Jahres in Verkehr gebracht wurde, in dem es nach § 14 gekennzeichnet wurde.</w:t>
      </w:r>
    </w:p>
    <w:p>
      <w:r>
        <w:rPr>
          <w:color w:val="555555"/>
          <w:sz w:val="17"/>
        </w:rPr>
        <w:t xml:space="preserve">Zitiervorschlag: § 34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