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MessEV — Pflichten bei der Durchführung öffentlicher Wägungen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öffentliche Waage verwendet, hat bei Wägungen sicherzustellen, dass</w:t>
      </w:r>
    </w:p>
    <w:p>
      <w:pPr>
        <w:ind w:left="420"/>
      </w:pPr>
      <w:r>
        <w:t xml:space="preserve">1. diese gewissenhaft und unparteiisch vorgenommen werden und</w:t>
      </w:r>
    </w:p>
    <w:p>
      <w:pPr>
        <w:ind w:left="420"/>
      </w:pPr>
      <w:r>
        <w:t xml:space="preserve">2. sie abgelehnt werden, wenn der Verwender der öffentlichen Waage, das die Wägung durchführende Betriebspersonal oder einer ihrer Angehörigen im Sinne des § 383 Absatz 1 Nummer 1 bis 3 der Zivilprozessordnung ein unmittelbares Interesse an dem Wägeergebnis haben.</w:t>
      </w:r>
    </w:p>
    <w:p>
      <w:r>
        <w:rPr>
          <w:color w:val="555555"/>
          <w:sz w:val="17"/>
        </w:rPr>
        <w:t xml:space="preserve">Zitiervorschlag: § 31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