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MessEV — Pflichten beim Verwenden einer öffentlichen Waage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öffentliche Waage verwendet, hat</w:t>
      </w:r>
    </w:p>
    <w:p>
      <w:pPr>
        <w:ind w:left="420"/>
      </w:pPr>
      <w:r>
        <w:t xml:space="preserve">1. die öffentliche Waage mit einem außen angebrachten Schild mit der deutlich lesbaren Aufschrift zu kennzeichnen: „Öffentliche Waage Wägebereich von … kg bis … kg“;dem Wort „Waage“ können Hinweise auf die Art der Waage, ihren Verwendungszweck oder ihren Inhaber beigefügt werden,</w:t>
      </w:r>
    </w:p>
    <w:p>
      <w:pPr>
        <w:ind w:left="420"/>
      </w:pPr>
      <w:r>
        <w:t xml:space="preserve">2. den Beginn und die Einstellung des Betriebs einer öffentlichen Waage der zuständigen Behörde unverzüglich anzuzeigen.</w:t>
      </w:r>
    </w:p>
    <w:p>
      <w:r>
        <w:rPr>
          <w:color w:val="555555"/>
          <w:sz w:val="17"/>
        </w:rPr>
        <w:t xml:space="preserve">Zitiervorschlag: § 30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