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MessEV — Besondere Vorschriften für das Verwenden von Messgeräten zur Bestimmung der Dosis ionisierender Strahlung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Dosimetersonden für ein passives, integrierendes Dosimeter dürfen von einer Stelle, die für die Auswertung von Dosimetersonden eines Dosimeters ausgestattet und qualifiziert ist (Dosimetriestelle), nur ausgegeben werden, wenn</w:t>
      </w:r>
    </w:p>
    <w:p>
      <w:pPr>
        <w:ind w:left="420"/>
      </w:pPr>
      <w:r>
        <w:t xml:space="preserve">1. das Dosimeter konformitätsbewertet ist und</w:t>
      </w:r>
    </w:p>
    <w:p>
      <w:pPr>
        <w:ind w:left="420"/>
      </w:pPr>
      <w:r>
        <w:t xml:space="preserve">2. die Dosimetriestelle regelmäßig mit Mustern von Dosimetersonden an Vergleichsmessungen teilnimmt und die dabei gestellten Anforderungen einhält.</w:t>
      </w:r>
    </w:p>
    <w:p>
      <w:r>
        <w:t xml:space="preserve">Die Vergleichsmessungen nach Satz 1 Nummer 2 werden von der Physikalisch-Technischen Bundesanstalt veranstaltet. Die Dosimetriestelle hat der zuständigen Behörde die Teilnahme an Vergleichsmessungen nach Satz 1 Nummer 2 und deren Ergebnis mitzuteilen. Die Leitung der Dosimetriestelle hat dafür zu sorgen, dass die Vorschriften der Sätze 1 und 3 eingehalten werden.</w:t>
      </w:r>
    </w:p>
    <w:p>
      <w:r>
        <w:t xml:space="preserve">(2) Eine Dosimetriestelle darf eine Dosimetersonde für ein passives, integrierendes Dosimeter nur auswerten, wenn diese Dosimetersonde zuvor von ihr nach Absatz 1 Satz 1 ausgegeben wurde.</w:t>
      </w:r>
    </w:p>
    <w:p>
      <w:r>
        <w:t xml:space="preserve">(3) Elektronische Personendosimeter dürfen für Messungen, in denen die Personendosis mit einem Dosimeter nach § 66 Absatz 1 Nummer 2 der Strahlenschutzverordnung zu messen ist, nur von einer Dosimetriestelle verwendet werden. Die Feststellung der Personendosis der jeweiligen Person muss im Fall des Satzes 1 durch die Dosimetriestelle im Wege elektronischer Datenkommunikation erfolgen.</w:t>
      </w:r>
    </w:p>
    <w:p>
      <w:r>
        <w:rPr>
          <w:color w:val="555555"/>
          <w:sz w:val="17"/>
        </w:rPr>
        <w:t xml:space="preserve">Zitiervorschlag: § 29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