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MessEV — Angabe von Gewichtswerten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(1) Im geschäftlichen Verkehr mit losen Erzeugnissen sind Gewichtswerte, die der Preisermittlung zugrunde liegen, nur als Nettowerte anzugeben. Erfolgt die Abgabe von losen Erzeugnissen an Personen, die das Erzeugnis in ihrer selbständigen beruflichen oder gewerblichen oder in ihrer behördlichen oder dienstlichen Tätigkeit verwenden, dürfen zusätzlich auch Bruttowerte angegeben werden.</w:t>
      </w:r>
    </w:p>
    <w:p>
      <w:r>
        <w:t xml:space="preserve">(2) Das Verwenden gespeicherter Taragewichtswerte zur Berücksichtigung des Gewichts von Verpackungen oder Transportgeräten ist gestattet, wenn die gespeicherten Gewichtswerte den tatsächlichen Taragewichtswerten zum Zeitpunkt ihrer Verwendung entsprechen oder so bemessen sind, dass eine Benachteiligung des Vertragspartners ausgeschlossen ist.</w:t>
      </w:r>
    </w:p>
    <w:p>
      <w:r>
        <w:rPr>
          <w:color w:val="555555"/>
          <w:sz w:val="17"/>
        </w:rPr>
        <w:t xml:space="preserve">Zitiervorschlag: § 26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