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MessEV — Vermutungswirkung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wird vermutet, dass Verwender ihre Pflichten nach § 23 erfüllen, wenn sie die Bedingungen einhalten, die hierzu nach § 46 des Mess- und Eichgesetzes in Regeln, technischen Spezifikationen oder Erkenntnissen ermittelt und veröffentlicht wurden.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24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