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MessEV — Aufstellung, Gebrauch und Wartung von Messgeräten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Messgerät verwendet im Sinne des § 1 Absatz 2 und 3, muss</w:t>
      </w:r>
    </w:p>
    <w:p>
      <w:pPr>
        <w:ind w:left="420"/>
      </w:pPr>
      <w:r>
        <w:t xml:space="preserve">1. sicherstellen, dass es</w:t>
      </w:r>
    </w:p>
    <w:p>
      <w:pPr>
        <w:ind w:left="780"/>
      </w:pPr>
      <w:r>
        <w:t xml:space="preserve">a) über die für den Verwendungszweck erforderliche Genauigkeit verfügt,</w:t>
      </w:r>
    </w:p>
    <w:p>
      <w:pPr>
        <w:ind w:left="780"/>
      </w:pPr>
      <w:r>
        <w:t xml:space="preserve">b) für die vorgesehenen Umgebungsbedingungen geeignet ist und</w:t>
      </w:r>
    </w:p>
    <w:p>
      <w:pPr>
        <w:ind w:left="780"/>
      </w:pPr>
      <w:r>
        <w:t xml:space="preserve">c) innerhalb des zulässigen Messbereichs eingesetzt wird,</w:t>
      </w:r>
    </w:p>
    <w:p>
      <w:pPr>
        <w:ind w:left="420"/>
      </w:pPr>
      <w:r>
        <w:t xml:space="preserve">2. es so aufstellen, anschließen, handhaben und warten, dass die Richtigkeit der Messung und die zuverlässige Ablesung der Anzeige gewährleistet sind; bedarf ein Messgerät keiner eigenen Anzeige gemäß Anlage 2 Nummer 9.1, hat der Verwender die zutreffende Darstellung der Messergebnisse in anderer Form entsprechend dem Stand der Technik sicherzustellen,</w:t>
      </w:r>
    </w:p>
    <w:p>
      <w:pPr>
        <w:ind w:left="420"/>
      </w:pPr>
      <w:r>
        <w:t xml:space="preserve">3. sicherstellen, dass die nach § 17 dem Gerät beizufügenden Informationen jederzeit verfügbar sind.</w:t>
      </w:r>
    </w:p>
    <w:p>
      <w:r>
        <w:t xml:space="preserve">(2) Wer ein Messgerät verwendet, darf Verkehrsfehlergrenzen nicht zu seinem Vorteil ausnutzen.</w:t>
      </w:r>
    </w:p>
    <w:p>
      <w:r>
        <w:t xml:space="preserve">(3) Wer ein Messgerät im Direktverkauf verwendet, muss es so aufstellen und benutzen, dass der Käufer den Messvorgang beobachten kann.</w:t>
      </w:r>
    </w:p>
    <w:p>
      <w:r>
        <w:rPr>
          <w:color w:val="555555"/>
          <w:sz w:val="17"/>
        </w:rPr>
        <w:t xml:space="preserve">Zitiervorschlag: § 23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